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项目名称:武隆天子坟遗址出土漆木器保护浸泡池深化设计及施工</w:t>
      </w:r>
    </w:p>
    <w:p>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p>
    <w:p>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p>
    <w:p>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p>
    <w:p>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采购人：重庆市文物考古研究院</w:t>
      </w:r>
    </w:p>
    <w:p>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 xml:space="preserve">        （重庆文化遗产保护中心）</w:t>
      </w: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二〇二三年</w:t>
      </w:r>
      <w:r>
        <w:rPr>
          <w:rFonts w:hint="eastAsia" w:ascii="宋体" w:hAnsi="宋体" w:cs="宋体"/>
          <w:b/>
          <w:bCs/>
          <w:color w:val="000000" w:themeColor="text1"/>
          <w:kern w:val="0"/>
          <w:sz w:val="32"/>
          <w:szCs w:val="32"/>
          <w:lang w:val="en-US" w:eastAsia="zh-CN"/>
          <w14:textFill>
            <w14:solidFill>
              <w14:schemeClr w14:val="tx1"/>
            </w14:solidFill>
          </w14:textFill>
        </w:rPr>
        <w:t>十</w:t>
      </w:r>
      <w:r>
        <w:rPr>
          <w:rFonts w:hint="eastAsia" w:ascii="宋体" w:hAnsi="宋体" w:cs="宋体"/>
          <w:b/>
          <w:bCs/>
          <w:color w:val="000000" w:themeColor="text1"/>
          <w:kern w:val="0"/>
          <w:sz w:val="32"/>
          <w:szCs w:val="32"/>
          <w14:textFill>
            <w14:solidFill>
              <w14:schemeClr w14:val="tx1"/>
            </w14:solidFill>
          </w14:textFill>
        </w:rPr>
        <w:t>月</w:t>
      </w: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pStyle w:val="14"/>
        <w:rPr>
          <w:color w:val="000000" w:themeColor="text1"/>
          <w14:textFill>
            <w14:solidFill>
              <w14:schemeClr w14:val="tx1"/>
            </w14:solidFill>
          </w14:textFill>
        </w:rPr>
      </w:pPr>
    </w:p>
    <w:p>
      <w:pPr>
        <w:rPr>
          <w:color w:val="000000" w:themeColor="text1"/>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pPr>
        <w:pStyle w:val="15"/>
        <w:widowControl/>
        <w:numPr>
          <w:ilvl w:val="0"/>
          <w:numId w:val="1"/>
        </w:numPr>
        <w:shd w:val="clear" w:color="auto" w:fill="FFFFFF"/>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pPr>
        <w:pStyle w:val="15"/>
        <w:spacing w:line="594" w:lineRule="exact"/>
        <w:ind w:left="420" w:firstLine="560" w:firstLineChars="200"/>
        <w:rPr>
          <w:rFonts w:hint="eastAsia" w:ascii="宋体" w:hAnsi="宋体" w:eastAsia="宋体" w:cs="宋体"/>
          <w:snapToGrid w:val="0"/>
          <w:color w:val="000000" w:themeColor="text1"/>
          <w:kern w:val="0"/>
          <w:sz w:val="28"/>
          <w:szCs w:val="28"/>
          <w:lang w:val="en-US" w:eastAsia="zh-CN"/>
          <w14:textFill>
            <w14:solidFill>
              <w14:schemeClr w14:val="tx1"/>
            </w14:solidFill>
          </w14:textFill>
        </w:rPr>
      </w:pPr>
      <w:r>
        <w:rPr>
          <w:rFonts w:hint="eastAsia" w:ascii="宋体" w:hAnsi="宋体" w:eastAsia="宋体" w:cs="宋体"/>
          <w:snapToGrid w:val="0"/>
          <w:color w:val="000000" w:themeColor="text1"/>
          <w:kern w:val="0"/>
          <w:sz w:val="28"/>
          <w:szCs w:val="28"/>
          <w:lang w:val="en-US" w:eastAsia="zh-CN"/>
          <w14:textFill>
            <w14:solidFill>
              <w14:schemeClr w14:val="tx1"/>
            </w14:solidFill>
          </w14:textFill>
        </w:rPr>
        <w:t>为满足武隆天子坟遗址M1长方形竖穴土坑木椁墓出土大型木质文物保护需求，防止器物因环境突变而引起开裂、起翘、脱皮、变形等情况出现，促进置换定形-加固保存同时进行。现根据文物保护要求，对武隆天子坟遗址出土漆木器保护浸泡池深化设计及施工工作进行采购。</w:t>
      </w:r>
    </w:p>
    <w:p>
      <w:pPr>
        <w:pStyle w:val="15"/>
        <w:spacing w:line="594" w:lineRule="exac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eastAsia="zh-CN"/>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pPr>
        <w:pStyle w:val="15"/>
        <w:spacing w:line="594" w:lineRule="exact"/>
        <w:ind w:left="420" w:firstLine="480" w:firstLineChars="200"/>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人民币</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42,821.26</w:t>
      </w:r>
      <w:r>
        <w:rPr>
          <w:rFonts w:hint="eastAsia" w:ascii="宋体" w:hAnsi="宋体" w:eastAsia="宋体" w:cs="宋体"/>
          <w:color w:val="000000" w:themeColor="text1"/>
          <w:kern w:val="0"/>
          <w:sz w:val="24"/>
          <w:szCs w:val="24"/>
          <w:lang w:val="en-US" w:eastAsia="zh-CN"/>
          <w14:textFill>
            <w14:solidFill>
              <w14:schemeClr w14:val="tx1"/>
            </w14:solidFill>
          </w14:textFill>
        </w:rPr>
        <w:t>元，大写：肆万贰仟捌佰贰拾壹元贰角陆分。</w:t>
      </w:r>
    </w:p>
    <w:p>
      <w:pPr>
        <w:widowControl/>
        <w:shd w:val="clear" w:color="auto" w:fill="FFFFFF"/>
        <w:spacing w:line="500" w:lineRule="exact"/>
        <w:ind w:firstLine="482" w:firstLineChars="200"/>
        <w:jc w:val="left"/>
        <w:rPr>
          <w:rFonts w:hint="default" w:ascii="宋体" w:hAnsi="宋体" w:eastAsia="宋体" w:cs="宋体"/>
          <w:b/>
          <w:bCs/>
          <w:color w:val="000000" w:themeColor="text1"/>
          <w:kern w:val="0"/>
          <w:sz w:val="24"/>
          <w:szCs w:val="24"/>
          <w:highlight w:val="none"/>
          <w:lang w:val="en-US" w:eastAsia="zh-CN"/>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三、技术要求</w:t>
      </w:r>
    </w:p>
    <w:p>
      <w:pPr>
        <w:pStyle w:val="15"/>
        <w:spacing w:line="594" w:lineRule="exact"/>
        <w:ind w:left="420" w:firstLine="480" w:firstLineChars="200"/>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根据</w:t>
      </w:r>
      <w:r>
        <w:rPr>
          <w:rFonts w:hint="eastAsia" w:ascii="宋体" w:hAnsi="宋体" w:cs="宋体"/>
          <w:color w:val="000000" w:themeColor="text1"/>
          <w:kern w:val="0"/>
          <w:sz w:val="24"/>
          <w:szCs w:val="24"/>
          <w:lang w:val="en-US" w:eastAsia="zh-CN"/>
          <w14:textFill>
            <w14:solidFill>
              <w14:schemeClr w14:val="tx1"/>
            </w14:solidFill>
          </w14:textFill>
        </w:rPr>
        <w:t>国家相关规定执行。</w:t>
      </w:r>
    </w:p>
    <w:p>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7.特定资格条件：无</w:t>
      </w:r>
    </w:p>
    <w:p>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pPr>
        <w:widowControl/>
        <w:shd w:val="clear" w:color="auto" w:fill="FFFFFF"/>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合同签订后</w:t>
      </w:r>
      <w:r>
        <w:rPr>
          <w:rFonts w:hint="eastAsia" w:ascii="宋体" w:hAnsi="宋体" w:cs="宋体"/>
          <w:color w:val="000000" w:themeColor="text1"/>
          <w:sz w:val="24"/>
          <w:szCs w:val="24"/>
          <w:lang w:val="en-US" w:eastAsia="zh-CN"/>
          <w14:textFill>
            <w14:solidFill>
              <w14:schemeClr w14:val="tx1"/>
            </w14:solidFill>
          </w14:textFill>
        </w:rPr>
        <w:t>20</w:t>
      </w:r>
      <w:r>
        <w:rPr>
          <w:rFonts w:hint="eastAsia" w:ascii="宋体" w:hAnsi="宋体" w:eastAsia="宋体" w:cs="宋体"/>
          <w:color w:val="000000" w:themeColor="text1"/>
          <w:sz w:val="24"/>
          <w:szCs w:val="24"/>
          <w:lang w:val="en-US" w:eastAsia="zh-CN"/>
          <w14:textFill>
            <w14:solidFill>
              <w14:schemeClr w14:val="tx1"/>
            </w14:solidFill>
          </w14:textFill>
        </w:rPr>
        <w:t>天完成</w:t>
      </w:r>
      <w:r>
        <w:rPr>
          <w:rFonts w:hint="eastAsia" w:ascii="宋体" w:hAnsi="宋体" w:cs="宋体"/>
          <w:color w:val="000000" w:themeColor="text1"/>
          <w:sz w:val="24"/>
          <w:szCs w:val="24"/>
          <w:lang w:val="en-US" w:eastAsia="zh-CN"/>
          <w14:textFill>
            <w14:solidFill>
              <w14:schemeClr w14:val="tx1"/>
            </w14:solidFill>
          </w14:textFill>
        </w:rPr>
        <w:t>全部工作并通过甲方验收</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pPr>
        <w:pStyle w:val="5"/>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pPr>
        <w:pStyle w:val="5"/>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pPr>
        <w:pStyle w:val="5"/>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pPr>
        <w:widowControl/>
        <w:spacing w:line="500" w:lineRule="exact"/>
        <w:ind w:firstLine="480" w:firstLineChars="20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lang w:val="en-US" w:eastAsia="zh-CN"/>
          <w14:textFill>
            <w14:solidFill>
              <w14:schemeClr w14:val="tx1"/>
            </w14:solidFill>
          </w14:textFill>
        </w:rPr>
        <w:t>完成</w:t>
      </w:r>
      <w:r>
        <w:rPr>
          <w:rFonts w:hint="eastAsia" w:ascii="宋体" w:hAnsi="宋体" w:cs="宋体"/>
          <w:color w:val="000000" w:themeColor="text1"/>
          <w:sz w:val="24"/>
          <w:szCs w:val="24"/>
          <w:lang w:val="en-US" w:eastAsia="zh-CN"/>
          <w14:textFill>
            <w14:solidFill>
              <w14:schemeClr w14:val="tx1"/>
            </w14:solidFill>
          </w14:textFill>
        </w:rPr>
        <w:t>全部工作并通过甲方验收</w:t>
      </w:r>
      <w:r>
        <w:rPr>
          <w:rFonts w:hint="eastAsia" w:ascii="宋体" w:hAnsi="宋体" w:cs="宋体"/>
          <w:color w:val="000000" w:themeColor="text1"/>
          <w:sz w:val="24"/>
          <w:szCs w:val="24"/>
          <w:lang w:eastAsia="zh-CN"/>
          <w14:textFill>
            <w14:solidFill>
              <w14:schemeClr w14:val="tx1"/>
            </w14:solidFill>
          </w14:textFill>
        </w:rPr>
        <w:t>后</w:t>
      </w:r>
      <w:r>
        <w:rPr>
          <w:rFonts w:hint="eastAsia" w:ascii="宋体" w:hAnsi="宋体" w:cs="宋体"/>
          <w:color w:val="000000" w:themeColor="text1"/>
          <w:sz w:val="24"/>
          <w:szCs w:val="24"/>
          <w:lang w:val="en-US" w:eastAsia="zh-CN"/>
          <w14:textFill>
            <w14:solidFill>
              <w14:schemeClr w14:val="tx1"/>
            </w14:solidFill>
          </w14:textFill>
        </w:rPr>
        <w:t>10个工作日内甲方支付合同金额的100%。</w:t>
      </w:r>
    </w:p>
    <w:p>
      <w:pPr>
        <w:widowControl/>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报价文件请于2023年</w:t>
      </w:r>
      <w:r>
        <w:rPr>
          <w:rFonts w:hint="eastAsia" w:ascii="宋体" w:hAnsi="宋体" w:cs="宋体"/>
          <w:color w:val="000000" w:themeColor="text1"/>
          <w:sz w:val="24"/>
          <w:szCs w:val="24"/>
          <w:lang w:val="en-US" w:eastAsia="zh-CN"/>
          <w14:textFill>
            <w14:solidFill>
              <w14:schemeClr w14:val="tx1"/>
            </w14:solidFill>
          </w14:textFill>
        </w:rPr>
        <w:t>10</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12</w:t>
      </w:r>
      <w:bookmarkStart w:id="0" w:name="_GoBack"/>
      <w:bookmarkEnd w:id="0"/>
      <w:r>
        <w:rPr>
          <w:rFonts w:hint="eastAsia" w:ascii="宋体" w:hAnsi="宋体" w:cs="宋体"/>
          <w:color w:val="000000" w:themeColor="text1"/>
          <w:sz w:val="24"/>
          <w:szCs w:val="24"/>
          <w14:textFill>
            <w14:solidFill>
              <w14:schemeClr w14:val="tx1"/>
            </w14:solidFill>
          </w14:textFill>
        </w:rPr>
        <w:t>日上午12：00时前以快递送达方式</w:t>
      </w:r>
      <w:r>
        <w:rPr>
          <w:rFonts w:hint="eastAsia" w:ascii="宋体" w:hAnsi="宋体" w:cs="宋体"/>
          <w:color w:val="000000" w:themeColor="text1"/>
          <w:sz w:val="24"/>
          <w:szCs w:val="24"/>
          <w:lang w:eastAsia="zh-CN"/>
          <w14:textFill>
            <w14:solidFill>
              <w14:schemeClr w14:val="tx1"/>
            </w14:solidFill>
          </w14:textFill>
        </w:rPr>
        <w:t>或当面</w:t>
      </w:r>
      <w:r>
        <w:rPr>
          <w:rFonts w:hint="eastAsia" w:ascii="宋体" w:hAnsi="宋体" w:cs="宋体"/>
          <w:color w:val="000000" w:themeColor="text1"/>
          <w:sz w:val="24"/>
          <w:szCs w:val="24"/>
          <w14:textFill>
            <w14:solidFill>
              <w14:schemeClr w14:val="tx1"/>
            </w14:solidFill>
          </w14:textFill>
        </w:rPr>
        <w:t>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pPr>
        <w:pStyle w:val="2"/>
        <w:spacing w:before="0" w:after="0"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pPr>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rPr>
          <w:color w:val="000000" w:themeColor="text1"/>
          <w14:textFill>
            <w14:solidFill>
              <w14:schemeClr w14:val="tx1"/>
            </w14:solidFill>
          </w14:textFill>
        </w:rPr>
      </w:pPr>
    </w:p>
    <w:p>
      <w:pPr>
        <w:pStyle w:val="13"/>
        <w:ind w:left="0" w:leftChars="0" w:firstLine="0" w:firstLineChars="0"/>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pPr>
        <w:pStyle w:val="6"/>
        <w:rPr>
          <w:color w:val="000000" w:themeColor="text1"/>
          <w14:textFill>
            <w14:solidFill>
              <w14:schemeClr w14:val="tx1"/>
            </w14:solidFill>
          </w14:textFill>
        </w:rPr>
      </w:pPr>
    </w:p>
    <w:p>
      <w:pPr>
        <w:spacing w:line="400" w:lineRule="exact"/>
        <w:rPr>
          <w:rFonts w:ascii="宋体" w:hAnsi="宋体" w:cs="宋体"/>
          <w:b/>
          <w:bCs/>
          <w:color w:val="000000" w:themeColor="text1"/>
          <w:sz w:val="24"/>
          <w:szCs w:val="24"/>
          <w14:textFill>
            <w14:solidFill>
              <w14:schemeClr w14:val="tx1"/>
            </w14:solidFill>
          </w14:textFill>
        </w:rPr>
      </w:pPr>
    </w:p>
    <w:p>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 xml:space="preserve">  ，大写：</w:t>
      </w:r>
      <w:r>
        <w:rPr>
          <w:rFonts w:hint="eastAsia" w:ascii="宋体" w:hAnsi="宋体" w:cs="宋体"/>
          <w:color w:val="000000" w:themeColor="text1"/>
          <w:sz w:val="24"/>
          <w:szCs w:val="24"/>
          <w14:textFill>
            <w14:solidFill>
              <w14:schemeClr w14:val="tx1"/>
            </w14:solidFill>
          </w14:textFill>
        </w:rPr>
        <w:t>。</w:t>
      </w:r>
    </w:p>
    <w:p>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pPr>
        <w:pStyle w:val="6"/>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pPr>
        <w:tabs>
          <w:tab w:val="left" w:pos="6300"/>
        </w:tabs>
        <w:snapToGrid w:val="0"/>
        <w:spacing w:line="360" w:lineRule="auto"/>
        <w:ind w:firstLine="480" w:firstLineChars="200"/>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法定代表人或授权代理人(签字)</w:t>
      </w:r>
      <w:r>
        <w:rPr>
          <w:rFonts w:hint="eastAsia" w:ascii="宋体" w:hAnsi="宋体" w:cs="宋体"/>
          <w:color w:val="000000" w:themeColor="text1"/>
          <w:sz w:val="24"/>
          <w:szCs w:val="24"/>
          <w:lang w:eastAsia="zh-CN"/>
          <w14:textFill>
            <w14:solidFill>
              <w14:schemeClr w14:val="tx1"/>
            </w14:solidFill>
          </w14:textFill>
        </w:rPr>
        <w:t>：</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pPr>
        <w:rPr>
          <w:color w:val="000000" w:themeColor="text1"/>
          <w14:textFill>
            <w14:solidFill>
              <w14:schemeClr w14:val="tx1"/>
            </w14:solidFill>
          </w14:textFill>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2F3F88"/>
    <w:rsid w:val="002F3F88"/>
    <w:rsid w:val="00536462"/>
    <w:rsid w:val="00BE51FC"/>
    <w:rsid w:val="086C794B"/>
    <w:rsid w:val="0AFC2154"/>
    <w:rsid w:val="12CB5CD8"/>
    <w:rsid w:val="1BA36B65"/>
    <w:rsid w:val="1C3255F9"/>
    <w:rsid w:val="1E731C44"/>
    <w:rsid w:val="26423351"/>
    <w:rsid w:val="388C4582"/>
    <w:rsid w:val="3F6F3B20"/>
    <w:rsid w:val="40D420A2"/>
    <w:rsid w:val="5CF13020"/>
    <w:rsid w:val="6099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semiHidden/>
    <w:unhideWhenUsed/>
    <w:qFormat/>
    <w:uiPriority w:val="99"/>
    <w:pPr>
      <w:spacing w:after="120"/>
    </w:pPr>
  </w:style>
  <w:style w:type="paragraph" w:styleId="5">
    <w:name w:val="Body Text Indent 2"/>
    <w:basedOn w:val="1"/>
    <w:link w:val="10"/>
    <w:qFormat/>
    <w:uiPriority w:val="0"/>
    <w:pPr>
      <w:snapToGrid w:val="0"/>
      <w:spacing w:line="560" w:lineRule="atLeast"/>
      <w:ind w:firstLine="540"/>
    </w:pPr>
  </w:style>
  <w:style w:type="paragraph" w:styleId="6">
    <w:name w:val="Body Text First Indent"/>
    <w:basedOn w:val="4"/>
    <w:next w:val="1"/>
    <w:link w:val="12"/>
    <w:qFormat/>
    <w:uiPriority w:val="0"/>
    <w:pPr>
      <w:spacing w:after="0" w:line="360" w:lineRule="auto"/>
      <w:ind w:firstLine="420"/>
    </w:pPr>
    <w:rPr>
      <w:rFonts w:ascii="宋体" w:hAnsi="宋体" w:eastAsia="仿宋_GB2312"/>
      <w:sz w:val="24"/>
    </w:rPr>
  </w:style>
  <w:style w:type="character" w:customStyle="1" w:styleId="9">
    <w:name w:val="标题 2 Char"/>
    <w:basedOn w:val="8"/>
    <w:link w:val="2"/>
    <w:qFormat/>
    <w:uiPriority w:val="0"/>
    <w:rPr>
      <w:rFonts w:ascii="Arial" w:hAnsi="Arial" w:eastAsia="黑体" w:cs="Times New Roman"/>
      <w:b/>
      <w:sz w:val="32"/>
      <w:szCs w:val="20"/>
    </w:rPr>
  </w:style>
  <w:style w:type="character" w:customStyle="1" w:styleId="10">
    <w:name w:val="正文文本缩进 2 Char"/>
    <w:basedOn w:val="8"/>
    <w:link w:val="5"/>
    <w:qFormat/>
    <w:uiPriority w:val="0"/>
    <w:rPr>
      <w:rFonts w:ascii="Times New Roman" w:hAnsi="Times New Roman" w:eastAsia="宋体" w:cs="Times New Roman"/>
      <w:sz w:val="28"/>
      <w:szCs w:val="20"/>
    </w:rPr>
  </w:style>
  <w:style w:type="character" w:customStyle="1" w:styleId="11">
    <w:name w:val="正文文本 Char"/>
    <w:basedOn w:val="8"/>
    <w:link w:val="4"/>
    <w:semiHidden/>
    <w:qFormat/>
    <w:uiPriority w:val="99"/>
    <w:rPr>
      <w:rFonts w:ascii="Times New Roman" w:hAnsi="Times New Roman" w:eastAsia="宋体" w:cs="Times New Roman"/>
      <w:sz w:val="28"/>
      <w:szCs w:val="20"/>
    </w:rPr>
  </w:style>
  <w:style w:type="character" w:customStyle="1" w:styleId="12">
    <w:name w:val="正文首行缩进 Char"/>
    <w:basedOn w:val="11"/>
    <w:link w:val="6"/>
    <w:qFormat/>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标题 3 Char"/>
    <w:basedOn w:val="8"/>
    <w:link w:val="3"/>
    <w:semiHidden/>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2374</Words>
  <Characters>2530</Characters>
  <Lines>15</Lines>
  <Paragraphs>4</Paragraphs>
  <TotalTime>8</TotalTime>
  <ScaleCrop>false</ScaleCrop>
  <LinksUpToDate>false</LinksUpToDate>
  <CharactersWithSpaces>2657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dc:creator>
  <cp:lastModifiedBy>红尘</cp:lastModifiedBy>
  <dcterms:modified xsi:type="dcterms:W3CDTF">2023-10-08T08:52:32Z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04B578270EF54AACBE33FBDA69EECC14_13</vt:lpwstr>
  </property>
</Properties>
</file>