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ind w:firstLine="640"/>
        <w:jc w:val="center"/>
        <w:rPr>
          <w:rFonts w:eastAsia="方正仿宋_GBK" w:cs="宋体" w:asciiTheme="minorHAnsi" w:hAnsiTheme="minorHAnsi"/>
          <w:b/>
          <w:bCs/>
          <w:kern w:val="0"/>
          <w:sz w:val="32"/>
          <w:szCs w:val="32"/>
        </w:rPr>
      </w:pPr>
    </w:p>
    <w:p>
      <w:pPr>
        <w:widowControl/>
        <w:shd w:val="clear" w:color="auto" w:fill="FFFFFF"/>
        <w:spacing w:line="500" w:lineRule="exact"/>
        <w:ind w:firstLine="640"/>
        <w:rPr>
          <w:rFonts w:ascii="方正仿宋_GBK" w:hAnsi="宋体" w:eastAsia="方正仿宋_GBK" w:cs="宋体"/>
          <w:b/>
          <w:bCs/>
          <w:kern w:val="0"/>
          <w:sz w:val="32"/>
          <w:szCs w:val="32"/>
        </w:rPr>
      </w:pPr>
    </w:p>
    <w:p>
      <w:pPr>
        <w:widowControl/>
        <w:shd w:val="clear" w:color="auto" w:fill="FFFFFF"/>
        <w:spacing w:line="500" w:lineRule="exact"/>
        <w:ind w:firstLine="640"/>
        <w:jc w:val="center"/>
        <w:rPr>
          <w:rFonts w:ascii="方正仿宋_GBK" w:hAnsi="宋体" w:eastAsia="方正仿宋_GBK" w:cs="宋体"/>
          <w:b/>
          <w:bCs/>
          <w:kern w:val="0"/>
          <w:sz w:val="32"/>
          <w:szCs w:val="32"/>
        </w:rPr>
      </w:pPr>
    </w:p>
    <w:p>
      <w:pPr>
        <w:ind w:firstLine="1928"/>
        <w:jc w:val="center"/>
        <w:rPr>
          <w:rFonts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widowControl/>
        <w:shd w:val="clear" w:color="auto" w:fill="FFFFFF"/>
        <w:spacing w:line="500" w:lineRule="exact"/>
        <w:ind w:firstLine="803"/>
        <w:jc w:val="center"/>
        <w:rPr>
          <w:rFonts w:ascii="宋体" w:hAnsi="宋体" w:cs="宋体"/>
          <w:b/>
          <w:bCs/>
          <w:kern w:val="0"/>
          <w:sz w:val="40"/>
          <w:szCs w:val="40"/>
        </w:rPr>
      </w:pPr>
      <w:r>
        <w:rPr>
          <w:rFonts w:hint="eastAsia" w:ascii="宋体" w:hAnsi="宋体" w:cs="宋体"/>
          <w:b/>
          <w:bCs/>
          <w:kern w:val="0"/>
          <w:sz w:val="40"/>
          <w:szCs w:val="40"/>
        </w:rPr>
        <w:t>项目名称:重庆市文物考古研究院招标采购管理子系统</w:t>
      </w:r>
    </w:p>
    <w:p>
      <w:pPr>
        <w:widowControl/>
        <w:shd w:val="clear" w:color="auto" w:fill="FFFFFF"/>
        <w:spacing w:line="500" w:lineRule="exact"/>
        <w:ind w:firstLine="803"/>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ind w:firstLine="803"/>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ind w:firstLine="640"/>
        <w:jc w:val="center"/>
        <w:rPr>
          <w:rFonts w:ascii="宋体" w:hAnsi="宋体" w:cs="宋体"/>
          <w:b/>
          <w:bCs/>
          <w:kern w:val="0"/>
          <w:sz w:val="32"/>
          <w:szCs w:val="32"/>
        </w:rPr>
      </w:pPr>
    </w:p>
    <w:p>
      <w:pPr>
        <w:widowControl/>
        <w:shd w:val="clear" w:color="auto" w:fill="FFFFFF"/>
        <w:spacing w:line="500" w:lineRule="exact"/>
        <w:ind w:firstLine="640"/>
        <w:jc w:val="center"/>
        <w:rPr>
          <w:rFonts w:ascii="宋体" w:hAnsi="宋体" w:cs="宋体"/>
          <w:b/>
          <w:bCs/>
          <w:kern w:val="0"/>
          <w:sz w:val="32"/>
          <w:szCs w:val="32"/>
        </w:rPr>
      </w:pPr>
    </w:p>
    <w:p>
      <w:pPr>
        <w:widowControl/>
        <w:shd w:val="clear" w:color="auto" w:fill="FFFFFF"/>
        <w:spacing w:line="500" w:lineRule="exact"/>
        <w:ind w:firstLine="643"/>
        <w:jc w:val="center"/>
        <w:rPr>
          <w:rFonts w:ascii="宋体" w:hAnsi="宋体" w:cs="宋体"/>
          <w:b/>
          <w:bCs/>
          <w:kern w:val="0"/>
          <w:sz w:val="32"/>
          <w:szCs w:val="32"/>
        </w:rPr>
      </w:pPr>
      <w:r>
        <w:rPr>
          <w:rFonts w:hint="eastAsia" w:ascii="宋体" w:hAnsi="宋体" w:cs="宋体"/>
          <w:b/>
          <w:bCs/>
          <w:kern w:val="0"/>
          <w:sz w:val="32"/>
          <w:szCs w:val="32"/>
        </w:rPr>
        <w:t>二〇二四年一月</w:t>
      </w:r>
    </w:p>
    <w:p>
      <w:pPr>
        <w:widowControl/>
        <w:shd w:val="clear" w:color="auto" w:fill="FFFFFF"/>
        <w:spacing w:line="500" w:lineRule="exact"/>
        <w:ind w:firstLine="640"/>
        <w:jc w:val="center"/>
        <w:rPr>
          <w:rFonts w:ascii="宋体" w:hAnsi="宋体" w:cs="宋体"/>
          <w:b/>
          <w:bCs/>
          <w:kern w:val="0"/>
          <w:sz w:val="32"/>
          <w:szCs w:val="32"/>
        </w:rPr>
      </w:pPr>
    </w:p>
    <w:p>
      <w:pPr>
        <w:widowControl/>
        <w:shd w:val="clear" w:color="auto" w:fill="FFFFFF"/>
        <w:spacing w:line="500" w:lineRule="exact"/>
        <w:ind w:firstLine="640"/>
        <w:jc w:val="center"/>
        <w:rPr>
          <w:rFonts w:ascii="宋体" w:hAnsi="宋体" w:cs="宋体"/>
          <w:b/>
          <w:bCs/>
          <w:kern w:val="0"/>
          <w:sz w:val="32"/>
          <w:szCs w:val="32"/>
        </w:rPr>
      </w:pPr>
    </w:p>
    <w:p>
      <w:pPr>
        <w:widowControl/>
        <w:shd w:val="clear" w:color="auto" w:fill="FFFFFF"/>
        <w:spacing w:line="500" w:lineRule="exact"/>
        <w:ind w:firstLine="640"/>
        <w:jc w:val="center"/>
        <w:rPr>
          <w:rFonts w:ascii="宋体" w:hAnsi="宋体" w:cs="宋体"/>
          <w:b/>
          <w:bCs/>
          <w:kern w:val="0"/>
          <w:sz w:val="32"/>
          <w:szCs w:val="32"/>
        </w:rPr>
      </w:pPr>
    </w:p>
    <w:p>
      <w:pPr>
        <w:widowControl/>
        <w:shd w:val="clear" w:color="auto" w:fill="FFFFFF"/>
        <w:spacing w:line="500" w:lineRule="exact"/>
        <w:ind w:firstLine="640"/>
        <w:jc w:val="center"/>
        <w:rPr>
          <w:rFonts w:ascii="宋体" w:hAnsi="宋体" w:cs="宋体"/>
          <w:b/>
          <w:bCs/>
          <w:kern w:val="0"/>
          <w:sz w:val="32"/>
          <w:szCs w:val="32"/>
        </w:rPr>
      </w:pPr>
    </w:p>
    <w:p>
      <w:pPr>
        <w:pStyle w:val="17"/>
        <w:ind w:firstLine="640"/>
      </w:pPr>
    </w:p>
    <w:p/>
    <w:p>
      <w:pPr>
        <w:widowControl/>
        <w:shd w:val="clear" w:color="auto" w:fill="FFFFFF"/>
        <w:spacing w:line="500" w:lineRule="exact"/>
        <w:ind w:firstLine="640"/>
        <w:jc w:val="center"/>
        <w:rPr>
          <w:rFonts w:ascii="宋体" w:hAnsi="宋体" w:cs="宋体"/>
          <w:b/>
          <w:bCs/>
          <w:kern w:val="0"/>
          <w:sz w:val="32"/>
          <w:szCs w:val="32"/>
        </w:rPr>
      </w:pPr>
    </w:p>
    <w:p>
      <w:pPr>
        <w:widowControl/>
        <w:shd w:val="clear" w:color="auto" w:fill="FFFFFF"/>
        <w:spacing w:line="500" w:lineRule="exact"/>
        <w:ind w:firstLine="640"/>
        <w:jc w:val="center"/>
        <w:rPr>
          <w:rFonts w:ascii="宋体" w:hAnsi="宋体" w:cs="宋体"/>
          <w:b/>
          <w:bCs/>
          <w:kern w:val="0"/>
          <w:sz w:val="32"/>
          <w:szCs w:val="32"/>
        </w:rPr>
      </w:pPr>
    </w:p>
    <w:p>
      <w:pPr>
        <w:widowControl/>
        <w:shd w:val="clear" w:color="auto" w:fill="FFFFFF"/>
        <w:spacing w:line="500" w:lineRule="exact"/>
        <w:ind w:firstLine="643"/>
        <w:jc w:val="center"/>
        <w:rPr>
          <w:rFonts w:ascii="宋体" w:hAnsi="宋体" w:cs="宋体"/>
          <w:b/>
          <w:bCs/>
          <w:kern w:val="0"/>
          <w:sz w:val="32"/>
          <w:szCs w:val="32"/>
        </w:rPr>
      </w:pPr>
      <w:r>
        <w:rPr>
          <w:rFonts w:hint="eastAsia" w:ascii="宋体" w:hAnsi="宋体" w:cs="宋体"/>
          <w:b/>
          <w:bCs/>
          <w:kern w:val="0"/>
          <w:sz w:val="32"/>
          <w:szCs w:val="32"/>
        </w:rPr>
        <w:t>询价公告</w:t>
      </w:r>
    </w:p>
    <w:p>
      <w:pPr>
        <w:pStyle w:val="21"/>
        <w:widowControl/>
        <w:numPr>
          <w:ilvl w:val="0"/>
          <w:numId w:val="1"/>
        </w:numPr>
        <w:shd w:val="clear" w:color="auto" w:fill="FFFFFF"/>
        <w:spacing w:line="500" w:lineRule="exact"/>
        <w:ind w:firstLineChars="0"/>
        <w:jc w:val="left"/>
        <w:rPr>
          <w:rFonts w:ascii="宋体" w:hAnsi="宋体" w:cs="宋体"/>
          <w:kern w:val="0"/>
          <w:sz w:val="24"/>
          <w:szCs w:val="24"/>
        </w:rPr>
      </w:pPr>
      <w:r>
        <w:rPr>
          <w:rFonts w:hint="eastAsia" w:ascii="宋体" w:hAnsi="宋体" w:cs="宋体"/>
          <w:b/>
          <w:bCs/>
          <w:kern w:val="0"/>
          <w:sz w:val="24"/>
          <w:szCs w:val="24"/>
        </w:rPr>
        <w:t>服务内容</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随着我院OA办公信息系统的建立和使用，OA系统在流程审批上和内部的管理过程中已经发挥了相应作用。为满足后勤管理中的招标采购管理信息化要求，提升招标采购管理的信息化，为招标采购管理、招标资料查阅提供信息系统支持，拟在现有OA系统上扩展和升级，添加招标采购管理信息子系统。</w:t>
      </w:r>
    </w:p>
    <w:p>
      <w:pPr>
        <w:pStyle w:val="21"/>
        <w:widowControl/>
        <w:shd w:val="clear" w:color="auto" w:fill="FFFFFF"/>
        <w:spacing w:line="500" w:lineRule="exact"/>
        <w:ind w:left="240" w:firstLine="240" w:firstLineChars="100"/>
        <w:jc w:val="left"/>
        <w:rPr>
          <w:rFonts w:ascii="宋体" w:hAnsi="宋体" w:cs="宋体"/>
          <w:b/>
          <w:bCs/>
          <w:kern w:val="0"/>
          <w:sz w:val="24"/>
          <w:szCs w:val="24"/>
        </w:rPr>
      </w:pPr>
      <w:r>
        <w:rPr>
          <w:rFonts w:hint="eastAsia" w:ascii="宋体" w:hAnsi="宋体" w:cs="宋体"/>
          <w:kern w:val="0"/>
          <w:sz w:val="24"/>
          <w:szCs w:val="24"/>
        </w:rPr>
        <w:t>二、</w:t>
      </w:r>
      <w:r>
        <w:rPr>
          <w:rFonts w:hint="eastAsia" w:ascii="宋体" w:hAnsi="宋体" w:cs="宋体"/>
          <w:b/>
          <w:bCs/>
          <w:kern w:val="0"/>
          <w:sz w:val="24"/>
          <w:szCs w:val="24"/>
        </w:rPr>
        <w:t>采购最高限价：</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人民币43200元，大写：肆万叁仟贰佰元整。</w:t>
      </w:r>
    </w:p>
    <w:p>
      <w:pPr>
        <w:widowControl/>
        <w:shd w:val="clear" w:color="auto" w:fill="FFFFFF"/>
        <w:spacing w:line="500" w:lineRule="exact"/>
        <w:ind w:firstLine="482" w:firstLineChars="200"/>
        <w:jc w:val="left"/>
        <w:rPr>
          <w:rFonts w:ascii="宋体" w:hAnsi="宋体" w:cs="宋体"/>
          <w:kern w:val="0"/>
          <w:sz w:val="24"/>
          <w:szCs w:val="24"/>
        </w:rPr>
      </w:pPr>
      <w:r>
        <w:rPr>
          <w:rFonts w:hint="eastAsia" w:ascii="宋体" w:hAnsi="宋体" w:cs="宋体"/>
          <w:b/>
          <w:bCs/>
          <w:kern w:val="0"/>
          <w:sz w:val="24"/>
          <w:szCs w:val="24"/>
        </w:rPr>
        <w:t>三、技术要求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（一）主要工作内容如下：</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1.建立招标采购管理系统，建立满足我院工作需要的内部招标采购管理子系统，提供自主采购计划审批申请、采购招标文件审核申请、合作项目审核申请、招标资料查阅等功能。结合现有系统提供流程管理，实现工作流程的规范化、电子化；</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2.现有系统的兼容改造，实现用户权限的集成；</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3.协助用户批量导入招标文件历史资料数据，建成招标资料档案库。实现精确到项目审批阶段、采购阶段的资料归档和查询，使招标采购管理子系统顺利上线。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（二）主要技术参数</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系统应包含移动端、电脑端应用。系统需求会有些变化，为便于系统维护扩展，后期对部分功能进行修改编辑，需提供“所见即所得”的流程、表单和页面的管理工具（客户端程序可执行程序e</w:t>
      </w:r>
      <w:r>
        <w:rPr>
          <w:rFonts w:ascii="宋体" w:hAnsi="宋体" w:cs="宋体"/>
          <w:kern w:val="0"/>
          <w:sz w:val="24"/>
          <w:szCs w:val="24"/>
        </w:rPr>
        <w:t>xe</w:t>
      </w:r>
      <w:r>
        <w:rPr>
          <w:rFonts w:hint="eastAsia" w:ascii="宋体" w:hAnsi="宋体" w:cs="宋体"/>
          <w:kern w:val="0"/>
          <w:sz w:val="24"/>
          <w:szCs w:val="24"/>
        </w:rPr>
        <w:t>），方便进行管理，不依赖于程序开发可实现流程定制、表单定制及非开发的功能页面的配置。此外，还应与现有O</w:t>
      </w:r>
      <w:r>
        <w:rPr>
          <w:rFonts w:ascii="宋体" w:hAnsi="宋体" w:cs="宋体"/>
          <w:kern w:val="0"/>
          <w:sz w:val="24"/>
          <w:szCs w:val="24"/>
        </w:rPr>
        <w:t>A</w:t>
      </w:r>
      <w:r>
        <w:rPr>
          <w:rFonts w:hint="eastAsia" w:ascii="宋体" w:hAnsi="宋体" w:cs="宋体"/>
          <w:kern w:val="0"/>
          <w:sz w:val="24"/>
          <w:szCs w:val="24"/>
        </w:rPr>
        <w:t>系统进行数据互通。系统主要技术指标如下（</w:t>
      </w:r>
      <w:r>
        <w:rPr>
          <w:rFonts w:hint="eastAsia" w:ascii="宋体" w:hAnsi="宋体" w:cs="宋体"/>
          <w:b/>
          <w:bCs/>
          <w:kern w:val="0"/>
          <w:sz w:val="24"/>
          <w:szCs w:val="24"/>
        </w:rPr>
        <w:t>供应商一旦报价，则认为同意并满足全部技术参数要求</w:t>
      </w:r>
      <w:r>
        <w:rPr>
          <w:rFonts w:hint="eastAsia" w:ascii="宋体" w:hAnsi="宋体" w:cs="宋体"/>
          <w:kern w:val="0"/>
          <w:sz w:val="24"/>
          <w:szCs w:val="24"/>
        </w:rPr>
        <w:t>）：</w:t>
      </w:r>
    </w:p>
    <w:p>
      <w:pPr>
        <w:widowControl/>
        <w:shd w:val="clear" w:color="auto" w:fill="FFFFFF"/>
        <w:spacing w:line="500" w:lineRule="exact"/>
        <w:ind w:firstLine="482" w:firstLineChars="200"/>
        <w:jc w:val="left"/>
        <w:rPr>
          <w:rFonts w:ascii="宋体" w:hAnsi="宋体" w:cs="宋体"/>
          <w:b/>
          <w:bCs/>
          <w:kern w:val="0"/>
          <w:sz w:val="24"/>
          <w:szCs w:val="24"/>
        </w:rPr>
      </w:pPr>
      <w:r>
        <w:rPr>
          <w:rFonts w:hint="eastAsia" w:ascii="宋体" w:hAnsi="宋体" w:cs="宋体"/>
          <w:b/>
          <w:bCs/>
          <w:kern w:val="0"/>
          <w:sz w:val="24"/>
          <w:szCs w:val="24"/>
        </w:rPr>
        <w:t>1</w:t>
      </w:r>
      <w:r>
        <w:rPr>
          <w:rFonts w:ascii="宋体" w:hAnsi="宋体" w:cs="宋体"/>
          <w:b/>
          <w:bCs/>
          <w:kern w:val="0"/>
          <w:sz w:val="24"/>
          <w:szCs w:val="24"/>
        </w:rPr>
        <w:t>.</w:t>
      </w:r>
      <w:r>
        <w:rPr>
          <w:rFonts w:hint="eastAsia" w:ascii="宋体" w:hAnsi="宋体" w:cs="宋体"/>
          <w:b/>
          <w:bCs/>
          <w:kern w:val="0"/>
          <w:sz w:val="24"/>
          <w:szCs w:val="24"/>
        </w:rPr>
        <w:t>管理工具</w:t>
      </w:r>
    </w:p>
    <w:p>
      <w:pPr>
        <w:pStyle w:val="4"/>
        <w:numPr>
          <w:ilvl w:val="0"/>
          <w:numId w:val="2"/>
        </w:numPr>
        <w:adjustRightInd w:val="0"/>
        <w:snapToGrid w:val="0"/>
        <w:ind w:firstLineChars="0"/>
      </w:pPr>
      <w:r>
        <w:rPr>
          <w:rFonts w:hint="eastAsia"/>
        </w:rPr>
        <w:t>表单模板定制，表单模板可实现与纸质的表单格式一致，支持绝对定位，提供纸质表单的电子化工具，支持党政机关常用字体设置和格式，表单内容提供精确到毫米的打印控制；</w:t>
      </w:r>
    </w:p>
    <w:p>
      <w:pPr>
        <w:pStyle w:val="4"/>
        <w:numPr>
          <w:ilvl w:val="0"/>
          <w:numId w:val="2"/>
        </w:numPr>
        <w:adjustRightInd w:val="0"/>
        <w:snapToGrid w:val="0"/>
        <w:ind w:firstLineChars="0"/>
      </w:pPr>
      <w:r>
        <w:rPr>
          <w:rFonts w:hint="eastAsia"/>
        </w:rPr>
        <w:t>表单控件支持网格、直线、文字、文本框、下拉框（树）、日期框、按钮、单选组、复选组、二维码、条形码、图片、单选框组、复选框组等；</w:t>
      </w:r>
    </w:p>
    <w:p>
      <w:pPr>
        <w:pStyle w:val="4"/>
        <w:numPr>
          <w:ilvl w:val="0"/>
          <w:numId w:val="2"/>
        </w:numPr>
        <w:adjustRightInd w:val="0"/>
        <w:snapToGrid w:val="0"/>
        <w:ind w:firstLineChars="0"/>
      </w:pPr>
      <w:r>
        <w:rPr>
          <w:rFonts w:hint="eastAsia"/>
        </w:rPr>
        <w:t>表单的展示，支持表单绝对/相对定位，绝对定位时，表单高宽将固定，元素绝对定位，相对定位时，表单高度可根据部分内容自动增加高度；</w:t>
      </w:r>
    </w:p>
    <w:p>
      <w:pPr>
        <w:pStyle w:val="4"/>
        <w:numPr>
          <w:ilvl w:val="0"/>
          <w:numId w:val="2"/>
        </w:numPr>
        <w:adjustRightInd w:val="0"/>
        <w:snapToGrid w:val="0"/>
        <w:ind w:firstLineChars="0"/>
      </w:pPr>
      <w:r>
        <w:rPr>
          <w:rFonts w:hint="eastAsia"/>
        </w:rPr>
        <w:t>下拉框（树）的绑定数据源，支持常量、SQL、数据字典等，其中数据字典可在系统管理后台中增减；</w:t>
      </w:r>
    </w:p>
    <w:p>
      <w:pPr>
        <w:pStyle w:val="4"/>
        <w:numPr>
          <w:ilvl w:val="0"/>
          <w:numId w:val="2"/>
        </w:numPr>
        <w:adjustRightInd w:val="0"/>
        <w:snapToGrid w:val="0"/>
        <w:ind w:firstLineChars="0"/>
      </w:pPr>
      <w:r>
        <w:rPr>
          <w:rFonts w:hint="eastAsia"/>
        </w:rPr>
        <w:t>必填与验证，支持必填、日期、电话、身份证号码等固定格式的快速验证配置；支持拖拽式字段绑定设置；</w:t>
      </w:r>
    </w:p>
    <w:p>
      <w:pPr>
        <w:pStyle w:val="4"/>
        <w:numPr>
          <w:ilvl w:val="0"/>
          <w:numId w:val="2"/>
        </w:numPr>
        <w:adjustRightInd w:val="0"/>
        <w:snapToGrid w:val="0"/>
        <w:ind w:firstLineChars="0"/>
      </w:pPr>
      <w:r>
        <w:rPr>
          <w:rFonts w:hint="eastAsia"/>
        </w:rPr>
        <w:t>排版管理，支持带行列合并的网格内放置录入控件，多行录入控件的高度可自动根据内容向下扩张单元格；</w:t>
      </w:r>
    </w:p>
    <w:p>
      <w:pPr>
        <w:pStyle w:val="4"/>
        <w:numPr>
          <w:ilvl w:val="0"/>
          <w:numId w:val="2"/>
        </w:numPr>
        <w:adjustRightInd w:val="0"/>
        <w:snapToGrid w:val="0"/>
        <w:ind w:firstLineChars="0"/>
      </w:pPr>
      <w:r>
        <w:rPr>
          <w:rFonts w:hint="eastAsia"/>
        </w:rPr>
        <w:t>二次开发接口，按钮、录入框、下拉框等控件支持基于javascript脚本的自定义事件绑定，满足特殊扩展提供便利；</w:t>
      </w:r>
    </w:p>
    <w:p>
      <w:pPr>
        <w:pStyle w:val="4"/>
        <w:numPr>
          <w:ilvl w:val="0"/>
          <w:numId w:val="2"/>
        </w:numPr>
        <w:adjustRightInd w:val="0"/>
        <w:snapToGrid w:val="0"/>
        <w:ind w:firstLineChars="0"/>
      </w:pPr>
      <w:r>
        <w:rPr>
          <w:rFonts w:hint="eastAsia"/>
        </w:rPr>
        <w:t>表单控件默认值绑定，支持常量、别名绑定，别名是指运行时参数（如：当前用户姓名、当前用户部门等）、SQL语句（如：查询当前数据库时间等）、根据传入的业务编号等参数查询的某个字段等，录入框、下拉框等控件的选中值支持别名作为默认值，减少录入；</w:t>
      </w:r>
    </w:p>
    <w:p>
      <w:pPr>
        <w:pStyle w:val="4"/>
        <w:numPr>
          <w:ilvl w:val="0"/>
          <w:numId w:val="2"/>
        </w:numPr>
        <w:adjustRightInd w:val="0"/>
        <w:snapToGrid w:val="0"/>
        <w:ind w:firstLineChars="0"/>
      </w:pPr>
      <w:r>
        <w:rPr>
          <w:rFonts w:hint="eastAsia"/>
        </w:rPr>
        <w:t>计算公式自定义，控件可绑定计算公式，计算公式支持同义词、表单其它控件取值，支持javascript运算符（如：加减乘除）及数学方法（如：取绝对值、开平方等javascript可用函数），如某个汇总数据录入框要取另外一些录入框的求和运算，则可通过计算公式设置完成；</w:t>
      </w:r>
    </w:p>
    <w:p>
      <w:pPr>
        <w:pStyle w:val="4"/>
        <w:numPr>
          <w:ilvl w:val="0"/>
          <w:numId w:val="2"/>
        </w:numPr>
        <w:adjustRightInd w:val="0"/>
        <w:snapToGrid w:val="0"/>
        <w:ind w:firstLineChars="0"/>
      </w:pPr>
      <w:r>
        <w:rPr>
          <w:rFonts w:hint="eastAsia"/>
        </w:rPr>
        <w:t>支持可视化流程编辑功能，支持多流向提交、支持节点单人、多人选择，支持节点内部人员之间的同步、异步控制，提供支持条件流向，条件设置支持同义词选择；</w:t>
      </w:r>
    </w:p>
    <w:p>
      <w:pPr>
        <w:pStyle w:val="4"/>
        <w:numPr>
          <w:ilvl w:val="0"/>
          <w:numId w:val="2"/>
        </w:numPr>
        <w:adjustRightInd w:val="0"/>
        <w:snapToGrid w:val="0"/>
        <w:ind w:firstLineChars="0"/>
      </w:pPr>
      <w:r>
        <w:rPr>
          <w:rFonts w:hint="eastAsia"/>
        </w:rPr>
        <w:t>流程发起、结束等提供事件支持，提供事件支持后端javascript、sql混合脚本配置和前端javascript方法回调，支持灵活的二次开发扩展，为流程的多样性提供支持；</w:t>
      </w:r>
    </w:p>
    <w:p>
      <w:pPr>
        <w:pStyle w:val="4"/>
        <w:numPr>
          <w:ilvl w:val="0"/>
          <w:numId w:val="2"/>
        </w:numPr>
        <w:adjustRightInd w:val="0"/>
        <w:snapToGrid w:val="0"/>
        <w:ind w:firstLineChars="0"/>
      </w:pPr>
      <w:r>
        <w:rPr>
          <w:rFonts w:hint="eastAsia"/>
        </w:rPr>
        <w:t>同一个表单支持与纸质表单一致的布局和排版或网页流态布局两种不同展示方式，在电脑端/移动端普通浏览器下使用时用户可一键切换，表单制作时可调整流态布局展示的表单控件顺序和组。</w:t>
      </w:r>
    </w:p>
    <w:p>
      <w:pPr>
        <w:widowControl/>
        <w:shd w:val="clear" w:color="auto" w:fill="FFFFFF"/>
        <w:spacing w:line="500" w:lineRule="exact"/>
        <w:ind w:firstLine="482" w:firstLineChars="200"/>
        <w:jc w:val="left"/>
        <w:rPr>
          <w:rFonts w:ascii="宋体" w:hAnsi="宋体" w:cs="宋体"/>
          <w:b/>
          <w:bCs/>
          <w:kern w:val="0"/>
          <w:sz w:val="24"/>
          <w:szCs w:val="24"/>
        </w:rPr>
      </w:pPr>
      <w:r>
        <w:rPr>
          <w:rFonts w:ascii="宋体" w:hAnsi="宋体" w:cs="宋体"/>
          <w:b/>
          <w:bCs/>
          <w:kern w:val="0"/>
          <w:sz w:val="24"/>
          <w:szCs w:val="24"/>
        </w:rPr>
        <w:t>2.</w:t>
      </w:r>
      <w:r>
        <w:rPr>
          <w:rFonts w:hint="eastAsia" w:ascii="宋体" w:hAnsi="宋体" w:cs="宋体"/>
          <w:b/>
          <w:bCs/>
          <w:kern w:val="0"/>
          <w:sz w:val="24"/>
          <w:szCs w:val="24"/>
        </w:rPr>
        <w:t>原笔迹手写签批</w:t>
      </w:r>
    </w:p>
    <w:p>
      <w:pPr>
        <w:widowControl/>
        <w:spacing w:line="360" w:lineRule="auto"/>
        <w:ind w:firstLine="480" w:firstLineChars="200"/>
        <w:jc w:val="left"/>
        <w:rPr>
          <w:sz w:val="24"/>
        </w:rPr>
      </w:pPr>
      <w:r>
        <w:rPr>
          <w:rFonts w:hint="eastAsia"/>
          <w:sz w:val="24"/>
        </w:rPr>
        <w:t>无纸化办公并与现有O</w:t>
      </w:r>
      <w:r>
        <w:rPr>
          <w:sz w:val="24"/>
        </w:rPr>
        <w:t>A</w:t>
      </w:r>
      <w:r>
        <w:rPr>
          <w:rFonts w:hint="eastAsia"/>
          <w:sz w:val="24"/>
        </w:rPr>
        <w:t>系统能融合对接是本项目的重点功能，系统需提供Windows/Android/iOS的手写客户端(或App)，支持在电子表单、文件任意位置上进行原笔迹手写意见。主要功能参数如下：</w:t>
      </w:r>
    </w:p>
    <w:p>
      <w:pPr>
        <w:pStyle w:val="4"/>
        <w:numPr>
          <w:ilvl w:val="0"/>
          <w:numId w:val="3"/>
        </w:numPr>
        <w:adjustRightInd w:val="0"/>
        <w:snapToGrid w:val="0"/>
        <w:ind w:firstLineChars="0"/>
      </w:pPr>
      <w:r>
        <w:rPr>
          <w:rFonts w:hint="eastAsia"/>
        </w:rPr>
        <w:t>支持电脑端使用手写板（带显示屏）的原笔迹签批，支持笔迹及其位置精确还原和打印；</w:t>
      </w:r>
    </w:p>
    <w:p>
      <w:pPr>
        <w:pStyle w:val="4"/>
        <w:numPr>
          <w:ilvl w:val="0"/>
          <w:numId w:val="3"/>
        </w:numPr>
        <w:adjustRightInd w:val="0"/>
        <w:snapToGrid w:val="0"/>
        <w:ind w:firstLineChars="0"/>
      </w:pPr>
      <w:r>
        <w:rPr>
          <w:rFonts w:hint="eastAsia"/>
        </w:rPr>
        <w:t>支持表单、电子文件原笔迹手写签批；支持在电子表单、电子文档任意位置书写；支持檫除；支持笔线宽及颜色设置；手写位置和文字比例与屏幕缩放一致；</w:t>
      </w:r>
    </w:p>
    <w:p>
      <w:pPr>
        <w:pStyle w:val="4"/>
        <w:numPr>
          <w:ilvl w:val="0"/>
          <w:numId w:val="3"/>
        </w:numPr>
        <w:adjustRightInd w:val="0"/>
        <w:snapToGrid w:val="0"/>
        <w:ind w:firstLineChars="0"/>
      </w:pPr>
      <w:r>
        <w:rPr>
          <w:rFonts w:hint="eastAsia"/>
        </w:rPr>
        <w:t>支持PDF/图片/HTML表单等格式内容的原笔迹手写签批；</w:t>
      </w:r>
    </w:p>
    <w:p>
      <w:pPr>
        <w:pStyle w:val="4"/>
        <w:numPr>
          <w:ilvl w:val="0"/>
          <w:numId w:val="3"/>
        </w:numPr>
        <w:adjustRightInd w:val="0"/>
        <w:snapToGrid w:val="0"/>
        <w:ind w:firstLineChars="0"/>
      </w:pPr>
      <w:r>
        <w:rPr>
          <w:rFonts w:hint="eastAsia"/>
        </w:rPr>
        <w:t>Windows桌面端支持各种浏览器启动，带基于Office编辑工具的文件在线编辑；</w:t>
      </w:r>
    </w:p>
    <w:p>
      <w:pPr>
        <w:pStyle w:val="4"/>
        <w:numPr>
          <w:ilvl w:val="0"/>
          <w:numId w:val="3"/>
        </w:numPr>
        <w:adjustRightInd w:val="0"/>
        <w:snapToGrid w:val="0"/>
        <w:ind w:firstLineChars="0"/>
      </w:pPr>
      <w:r>
        <w:rPr>
          <w:rFonts w:hint="eastAsia"/>
        </w:rPr>
        <w:t>移动端、电脑端支持预制矢量手写签名，并支持预制手写签名放大、缩小和拖动到指定位置，手写签名放大缩小时不变形；</w:t>
      </w:r>
    </w:p>
    <w:p>
      <w:pPr>
        <w:pStyle w:val="4"/>
        <w:numPr>
          <w:ilvl w:val="0"/>
          <w:numId w:val="3"/>
        </w:numPr>
        <w:adjustRightInd w:val="0"/>
        <w:snapToGrid w:val="0"/>
        <w:ind w:firstLineChars="0"/>
      </w:pPr>
      <w:r>
        <w:rPr>
          <w:rFonts w:hint="eastAsia"/>
        </w:rPr>
        <w:t>电脑端支持手写签批意见高亮显示、并显示签名人和签批时间；支持移动签批意见到指定位置，避免多个人同时签署意见产生重叠问题，支持电子表单及意见融合导出到P</w:t>
      </w:r>
      <w:r>
        <w:t>DF</w:t>
      </w:r>
      <w:r>
        <w:rPr>
          <w:rFonts w:hint="eastAsia"/>
        </w:rPr>
        <w:t>文件；</w:t>
      </w:r>
    </w:p>
    <w:p>
      <w:pPr>
        <w:pStyle w:val="4"/>
        <w:numPr>
          <w:ilvl w:val="0"/>
          <w:numId w:val="3"/>
        </w:numPr>
        <w:adjustRightInd w:val="0"/>
        <w:snapToGrid w:val="0"/>
        <w:ind w:firstLineChars="0"/>
      </w:pPr>
      <w:r>
        <w:rPr>
          <w:rFonts w:hint="eastAsia"/>
        </w:rPr>
        <w:t>签批权限控制，不允许其他人檫除手写签批意见；</w:t>
      </w:r>
    </w:p>
    <w:p>
      <w:pPr>
        <w:pStyle w:val="4"/>
        <w:numPr>
          <w:ilvl w:val="0"/>
          <w:numId w:val="3"/>
        </w:numPr>
        <w:adjustRightInd w:val="0"/>
        <w:snapToGrid w:val="0"/>
        <w:ind w:firstLineChars="0"/>
      </w:pPr>
      <w:r>
        <w:rPr>
          <w:rFonts w:hint="eastAsia"/>
        </w:rPr>
        <w:t>支持移动端、电脑端在所见即所得的表单中，实现手写意见和录入意见同时进行，用户可在同一时刻选择任意一种方式进行意见签署。</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6.法律、行政法规规定的其它条件。</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7.特定资格条件：无</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五、采购服务约定</w:t>
      </w:r>
    </w:p>
    <w:p>
      <w:pPr>
        <w:widowControl/>
        <w:shd w:val="clear" w:color="auto" w:fill="FFFFFF"/>
        <w:spacing w:line="500" w:lineRule="exact"/>
        <w:ind w:firstLine="482"/>
        <w:jc w:val="left"/>
        <w:rPr>
          <w:rFonts w:ascii="宋体" w:hAnsi="宋体" w:cs="宋体"/>
          <w:kern w:val="0"/>
          <w:sz w:val="24"/>
          <w:szCs w:val="24"/>
        </w:rPr>
      </w:pPr>
      <w:r>
        <w:rPr>
          <w:rFonts w:hint="eastAsia" w:ascii="宋体" w:hAnsi="宋体" w:cs="宋体"/>
          <w:kern w:val="0"/>
          <w:sz w:val="24"/>
          <w:szCs w:val="24"/>
        </w:rPr>
        <w:t>1.服务周期</w:t>
      </w:r>
    </w:p>
    <w:p>
      <w:pPr>
        <w:widowControl/>
        <w:shd w:val="clear" w:color="auto" w:fill="FFFFFF"/>
        <w:spacing w:line="500" w:lineRule="exact"/>
        <w:ind w:firstLine="482"/>
        <w:jc w:val="left"/>
        <w:rPr>
          <w:rFonts w:ascii="宋体" w:hAnsi="宋体" w:cs="宋体"/>
          <w:kern w:val="0"/>
          <w:sz w:val="24"/>
          <w:szCs w:val="24"/>
        </w:rPr>
      </w:pPr>
      <w:r>
        <w:rPr>
          <w:rFonts w:hint="eastAsia" w:ascii="宋体" w:hAnsi="宋体" w:cs="宋体"/>
          <w:kern w:val="0"/>
          <w:sz w:val="24"/>
          <w:szCs w:val="24"/>
        </w:rPr>
        <w:t>2024年3月31日前完成本子系统经甲方验收合格后正式投入使用。</w:t>
      </w:r>
    </w:p>
    <w:p>
      <w:pPr>
        <w:widowControl/>
        <w:shd w:val="clear" w:color="auto" w:fill="FFFFFF"/>
        <w:spacing w:line="500" w:lineRule="exact"/>
        <w:ind w:firstLine="482"/>
        <w:jc w:val="left"/>
        <w:rPr>
          <w:rFonts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482"/>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重庆市文物考古研究院</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3.验收方式：</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通过甲方组织的验收。</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本次报价须为人民币报价，包含服务费、工作人员工资、与现有OA系统的接口开发费</w:t>
      </w:r>
      <w:r>
        <w:rPr>
          <w:rFonts w:hint="eastAsia" w:ascii="宋体" w:hAnsi="宋体" w:cs="宋体"/>
          <w:kern w:val="0"/>
          <w:sz w:val="24"/>
          <w:szCs w:val="24"/>
        </w:rPr>
        <w:t>、交通运输、后勤用品、技材、不可预见、安全措施、税费、运杂费、保险费、验收、等所有费用。因成交供应商自身原因造成漏报、少报皆由其自行承担责任，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pPr>
        <w:pStyle w:val="7"/>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pPr>
        <w:pStyle w:val="7"/>
        <w:ind w:left="238" w:leftChars="85" w:firstLine="480" w:firstLineChars="200"/>
        <w:rPr>
          <w:rFonts w:ascii="宋体" w:hAnsi="宋体" w:cs="宋体"/>
          <w:sz w:val="24"/>
          <w:szCs w:val="24"/>
        </w:rPr>
      </w:pPr>
      <w:r>
        <w:rPr>
          <w:rFonts w:hint="eastAsia" w:ascii="宋体" w:hAnsi="宋体" w:cs="宋体"/>
          <w:sz w:val="24"/>
          <w:szCs w:val="24"/>
        </w:rPr>
        <w:t>1.报价文件一式一份。</w:t>
      </w:r>
    </w:p>
    <w:p>
      <w:pPr>
        <w:pStyle w:val="7"/>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八、付款方式：</w:t>
      </w:r>
    </w:p>
    <w:p>
      <w:pPr>
        <w:widowControl/>
        <w:spacing w:line="500" w:lineRule="exact"/>
        <w:ind w:firstLine="480" w:firstLineChars="200"/>
        <w:jc w:val="left"/>
        <w:rPr>
          <w:rFonts w:ascii="宋体" w:hAnsi="宋体" w:cs="宋体"/>
          <w:sz w:val="24"/>
          <w:szCs w:val="24"/>
        </w:rPr>
      </w:pPr>
      <w:r>
        <w:rPr>
          <w:rFonts w:hint="eastAsia" w:ascii="宋体" w:hAnsi="宋体" w:cs="宋体"/>
          <w:sz w:val="24"/>
          <w:szCs w:val="24"/>
        </w:rPr>
        <w:t>合同签订后5个工作日内，采购人支付成交供应商合同金额的30%；成交供应商进场开展工作后5个工作日内，采购人支付成交供应商合同金额的50%；成交供应商约定时间完成全部工作并经甲方验收合格后10个工作日内，采购人支付合同金额的20%。</w:t>
      </w:r>
    </w:p>
    <w:p>
      <w:pPr>
        <w:widowControl/>
        <w:spacing w:line="500" w:lineRule="exact"/>
        <w:ind w:firstLine="480" w:firstLineChars="200"/>
        <w:jc w:val="left"/>
        <w:rPr>
          <w:rFonts w:ascii="宋体" w:hAnsi="宋体" w:cs="宋体"/>
          <w:sz w:val="24"/>
          <w:szCs w:val="24"/>
        </w:rPr>
      </w:pPr>
      <w:r>
        <w:rPr>
          <w:rFonts w:hint="eastAsia" w:ascii="宋体" w:hAnsi="宋体" w:cs="宋体"/>
          <w:sz w:val="24"/>
          <w:szCs w:val="24"/>
        </w:rPr>
        <w:t>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九、报价要求</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报价文件请于2023年12月2</w:t>
      </w:r>
      <w:r>
        <w:rPr>
          <w:rFonts w:hint="eastAsia" w:ascii="宋体" w:hAnsi="宋体" w:cs="宋体"/>
          <w:sz w:val="24"/>
          <w:szCs w:val="24"/>
          <w:lang w:val="en-US" w:eastAsia="zh-CN"/>
        </w:rPr>
        <w:t>9</w:t>
      </w:r>
      <w:r>
        <w:rPr>
          <w:rFonts w:hint="eastAsia" w:ascii="宋体" w:hAnsi="宋体" w:cs="宋体"/>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2"/>
        <w:spacing w:line="440" w:lineRule="exact"/>
        <w:ind w:firstLine="480"/>
        <w:rPr>
          <w:rFonts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pPr>
      <w:r>
        <w:rPr>
          <w:rFonts w:hint="eastAsia" w:ascii="宋体" w:hAnsi="宋体" w:cs="宋体"/>
          <w:sz w:val="24"/>
          <w:szCs w:val="24"/>
        </w:rPr>
        <w:t>10.其他未尽事宜由供需双方在采购合同中详细约定。</w:t>
      </w: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p>
    <w:p>
      <w:pPr>
        <w:pStyle w:val="15"/>
        <w:ind w:firstLine="0" w:firstLineChars="0"/>
        <w:rPr>
          <w:color w:val="auto"/>
        </w:rPr>
      </w:pPr>
      <w:bookmarkStart w:id="0" w:name="_GoBack"/>
      <w:bookmarkEnd w:id="0"/>
    </w:p>
    <w:p>
      <w:r>
        <w:rPr>
          <w:rFonts w:hint="eastAsia"/>
        </w:rPr>
        <w:t>附件</w:t>
      </w:r>
    </w:p>
    <w:p>
      <w:pPr>
        <w:pStyle w:val="10"/>
        <w:ind w:firstLine="482"/>
      </w:pPr>
    </w:p>
    <w:p>
      <w:pPr>
        <w:spacing w:line="400" w:lineRule="exact"/>
        <w:ind w:firstLine="480"/>
        <w:rPr>
          <w:rFonts w:ascii="宋体" w:hAnsi="宋体" w:cs="宋体"/>
          <w:b/>
          <w:bCs/>
          <w:sz w:val="24"/>
          <w:szCs w:val="24"/>
        </w:rPr>
      </w:pPr>
    </w:p>
    <w:p>
      <w:pPr>
        <w:spacing w:line="400" w:lineRule="exact"/>
        <w:ind w:firstLine="482" w:firstLineChars="200"/>
        <w:rPr>
          <w:rFonts w:ascii="宋体" w:hAnsi="宋体" w:cs="宋体"/>
          <w:b/>
          <w:bCs/>
          <w:sz w:val="24"/>
          <w:szCs w:val="24"/>
        </w:rPr>
      </w:pPr>
    </w:p>
    <w:p>
      <w:pPr>
        <w:tabs>
          <w:tab w:val="left" w:pos="6300"/>
        </w:tabs>
        <w:snapToGrid w:val="0"/>
        <w:spacing w:line="360" w:lineRule="auto"/>
        <w:jc w:val="center"/>
        <w:rPr>
          <w:rFonts w:ascii="宋体" w:hAnsi="宋体" w:cs="宋体"/>
          <w:b/>
          <w:szCs w:val="28"/>
        </w:rPr>
      </w:pPr>
      <w:r>
        <w:rPr>
          <w:rFonts w:hint="eastAsia" w:ascii="宋体" w:hAnsi="宋体" w:cs="宋体"/>
          <w:b/>
          <w:szCs w:val="28"/>
        </w:rPr>
        <w:t>报价函</w:t>
      </w: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我方收到（询价项目名称）的询价文件，经详细研究，决定参加该询价项目的报价。</w:t>
      </w:r>
    </w:p>
    <w:p>
      <w:pPr>
        <w:tabs>
          <w:tab w:val="left" w:pos="6300"/>
        </w:tabs>
        <w:snapToGrid w:val="0"/>
        <w:spacing w:line="360" w:lineRule="auto"/>
        <w:ind w:left="478" w:leftChars="85" w:hanging="240" w:hanging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元  ，大写：  整</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10"/>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482"/>
        <w:rPr>
          <w:rFonts w:ascii="宋体" w:hAnsi="宋体" w:cs="宋体"/>
          <w:sz w:val="24"/>
          <w:szCs w:val="24"/>
        </w:rPr>
      </w:pPr>
    </w:p>
    <w:p>
      <w:pPr>
        <w:tabs>
          <w:tab w:val="left" w:pos="6300"/>
        </w:tabs>
        <w:snapToGrid w:val="0"/>
        <w:spacing w:line="360" w:lineRule="auto"/>
        <w:ind w:firstLine="482"/>
        <w:rPr>
          <w:rFonts w:ascii="宋体" w:hAnsi="宋体" w:cs="宋体"/>
          <w:sz w:val="24"/>
          <w:szCs w:val="24"/>
        </w:rPr>
      </w:pPr>
      <w:r>
        <w:rPr>
          <w:rFonts w:hint="eastAsia" w:ascii="宋体" w:hAnsi="宋体" w:cs="宋体"/>
          <w:sz w:val="24"/>
          <w:szCs w:val="24"/>
        </w:rPr>
        <w:t>供应商（公章）签署：</w:t>
      </w:r>
    </w:p>
    <w:p>
      <w:pPr>
        <w:pStyle w:val="10"/>
        <w:ind w:firstLine="480" w:firstLineChars="200"/>
        <w:rPr>
          <w:rFonts w:eastAsia="宋体"/>
        </w:rPr>
      </w:pPr>
      <w:r>
        <w:rPr>
          <w:rFonts w:hint="eastAsia" w:eastAsia="宋体" w:cs="宋体"/>
          <w:szCs w:val="24"/>
        </w:rPr>
        <w:t>法定代表人（签字）：</w:t>
      </w:r>
    </w:p>
    <w:p>
      <w:pPr>
        <w:tabs>
          <w:tab w:val="left" w:pos="6300"/>
        </w:tabs>
        <w:snapToGrid w:val="0"/>
        <w:spacing w:line="360" w:lineRule="auto"/>
        <w:ind w:firstLine="482"/>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482"/>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482"/>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482"/>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8A5B82"/>
    <w:multiLevelType w:val="multilevel"/>
    <w:tmpl w:val="0B8A5B82"/>
    <w:lvl w:ilvl="0" w:tentative="0">
      <w:start w:val="1"/>
      <w:numFmt w:val="decimal"/>
      <w:lvlText w:val="(%1)"/>
      <w:lvlJc w:val="left"/>
      <w:pPr>
        <w:ind w:left="1381" w:hanging="420"/>
      </w:pPr>
      <w:rPr>
        <w:rFonts w:hint="eastAsia"/>
      </w:rPr>
    </w:lvl>
    <w:lvl w:ilvl="1" w:tentative="0">
      <w:start w:val="1"/>
      <w:numFmt w:val="lowerLetter"/>
      <w:lvlText w:val="%2)"/>
      <w:lvlJc w:val="left"/>
      <w:pPr>
        <w:ind w:left="1801" w:hanging="420"/>
      </w:pPr>
    </w:lvl>
    <w:lvl w:ilvl="2" w:tentative="0">
      <w:start w:val="1"/>
      <w:numFmt w:val="lowerRoman"/>
      <w:lvlText w:val="%3."/>
      <w:lvlJc w:val="right"/>
      <w:pPr>
        <w:ind w:left="2221" w:hanging="420"/>
      </w:pPr>
    </w:lvl>
    <w:lvl w:ilvl="3" w:tentative="0">
      <w:start w:val="1"/>
      <w:numFmt w:val="decimal"/>
      <w:lvlText w:val="%4."/>
      <w:lvlJc w:val="left"/>
      <w:pPr>
        <w:ind w:left="2641" w:hanging="420"/>
      </w:pPr>
    </w:lvl>
    <w:lvl w:ilvl="4" w:tentative="0">
      <w:start w:val="1"/>
      <w:numFmt w:val="lowerLetter"/>
      <w:lvlText w:val="%5)"/>
      <w:lvlJc w:val="left"/>
      <w:pPr>
        <w:ind w:left="3061" w:hanging="420"/>
      </w:pPr>
    </w:lvl>
    <w:lvl w:ilvl="5" w:tentative="0">
      <w:start w:val="1"/>
      <w:numFmt w:val="lowerRoman"/>
      <w:lvlText w:val="%6."/>
      <w:lvlJc w:val="right"/>
      <w:pPr>
        <w:ind w:left="3481" w:hanging="420"/>
      </w:pPr>
    </w:lvl>
    <w:lvl w:ilvl="6" w:tentative="0">
      <w:start w:val="1"/>
      <w:numFmt w:val="decimal"/>
      <w:lvlText w:val="%7."/>
      <w:lvlJc w:val="left"/>
      <w:pPr>
        <w:ind w:left="3901" w:hanging="420"/>
      </w:pPr>
    </w:lvl>
    <w:lvl w:ilvl="7" w:tentative="0">
      <w:start w:val="1"/>
      <w:numFmt w:val="lowerLetter"/>
      <w:lvlText w:val="%8)"/>
      <w:lvlJc w:val="left"/>
      <w:pPr>
        <w:ind w:left="4321" w:hanging="420"/>
      </w:pPr>
    </w:lvl>
    <w:lvl w:ilvl="8" w:tentative="0">
      <w:start w:val="1"/>
      <w:numFmt w:val="lowerRoman"/>
      <w:lvlText w:val="%9."/>
      <w:lvlJc w:val="right"/>
      <w:pPr>
        <w:ind w:left="4741" w:hanging="420"/>
      </w:pPr>
    </w:lvl>
  </w:abstractNum>
  <w:abstractNum w:abstractNumId="1">
    <w:nsid w:val="3137CA55"/>
    <w:multiLevelType w:val="multilevel"/>
    <w:tmpl w:val="3137CA55"/>
    <w:lvl w:ilvl="0" w:tentative="0">
      <w:start w:val="1"/>
      <w:numFmt w:val="decimal"/>
      <w:lvlText w:val="(%1)"/>
      <w:lvlJc w:val="left"/>
      <w:pPr>
        <w:ind w:left="1381" w:hanging="420"/>
      </w:pPr>
      <w:rPr>
        <w:rFonts w:hint="eastAsia"/>
      </w:rPr>
    </w:lvl>
    <w:lvl w:ilvl="1" w:tentative="0">
      <w:start w:val="1"/>
      <w:numFmt w:val="lowerLetter"/>
      <w:lvlText w:val="%2)"/>
      <w:lvlJc w:val="left"/>
      <w:pPr>
        <w:ind w:left="1801" w:hanging="420"/>
      </w:pPr>
    </w:lvl>
    <w:lvl w:ilvl="2" w:tentative="0">
      <w:start w:val="1"/>
      <w:numFmt w:val="lowerRoman"/>
      <w:lvlText w:val="%3."/>
      <w:lvlJc w:val="right"/>
      <w:pPr>
        <w:ind w:left="2221" w:hanging="420"/>
      </w:pPr>
    </w:lvl>
    <w:lvl w:ilvl="3" w:tentative="0">
      <w:start w:val="1"/>
      <w:numFmt w:val="decimal"/>
      <w:lvlText w:val="%4."/>
      <w:lvlJc w:val="left"/>
      <w:pPr>
        <w:ind w:left="2641" w:hanging="420"/>
      </w:pPr>
    </w:lvl>
    <w:lvl w:ilvl="4" w:tentative="0">
      <w:start w:val="1"/>
      <w:numFmt w:val="lowerLetter"/>
      <w:lvlText w:val="%5)"/>
      <w:lvlJc w:val="left"/>
      <w:pPr>
        <w:ind w:left="3061" w:hanging="420"/>
      </w:pPr>
    </w:lvl>
    <w:lvl w:ilvl="5" w:tentative="0">
      <w:start w:val="1"/>
      <w:numFmt w:val="lowerRoman"/>
      <w:lvlText w:val="%6."/>
      <w:lvlJc w:val="right"/>
      <w:pPr>
        <w:ind w:left="3481" w:hanging="420"/>
      </w:pPr>
    </w:lvl>
    <w:lvl w:ilvl="6" w:tentative="0">
      <w:start w:val="1"/>
      <w:numFmt w:val="decimal"/>
      <w:lvlText w:val="%7."/>
      <w:lvlJc w:val="left"/>
      <w:pPr>
        <w:ind w:left="3901" w:hanging="420"/>
      </w:pPr>
    </w:lvl>
    <w:lvl w:ilvl="7" w:tentative="0">
      <w:start w:val="1"/>
      <w:numFmt w:val="lowerLetter"/>
      <w:lvlText w:val="%8)"/>
      <w:lvlJc w:val="left"/>
      <w:pPr>
        <w:ind w:left="4321" w:hanging="420"/>
      </w:pPr>
    </w:lvl>
    <w:lvl w:ilvl="8" w:tentative="0">
      <w:start w:val="1"/>
      <w:numFmt w:val="lowerRoman"/>
      <w:lvlText w:val="%9."/>
      <w:lvlJc w:val="right"/>
      <w:pPr>
        <w:ind w:left="4741" w:hanging="420"/>
      </w:pPr>
    </w:lvl>
  </w:abstractNum>
  <w:abstractNum w:abstractNumId="2">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002C2D"/>
    <w:rsid w:val="00020D20"/>
    <w:rsid w:val="00025A65"/>
    <w:rsid w:val="00036F79"/>
    <w:rsid w:val="00151347"/>
    <w:rsid w:val="0017384A"/>
    <w:rsid w:val="001B364E"/>
    <w:rsid w:val="001C0392"/>
    <w:rsid w:val="001D10D5"/>
    <w:rsid w:val="001E7198"/>
    <w:rsid w:val="00246061"/>
    <w:rsid w:val="00272293"/>
    <w:rsid w:val="0027723A"/>
    <w:rsid w:val="00287131"/>
    <w:rsid w:val="0029771D"/>
    <w:rsid w:val="002A0173"/>
    <w:rsid w:val="002B05DE"/>
    <w:rsid w:val="003071F4"/>
    <w:rsid w:val="00342047"/>
    <w:rsid w:val="00347D23"/>
    <w:rsid w:val="003548C5"/>
    <w:rsid w:val="0036487C"/>
    <w:rsid w:val="00367CE0"/>
    <w:rsid w:val="003A5DBB"/>
    <w:rsid w:val="003B6480"/>
    <w:rsid w:val="00404D54"/>
    <w:rsid w:val="00474DD7"/>
    <w:rsid w:val="004A3312"/>
    <w:rsid w:val="004B2936"/>
    <w:rsid w:val="004C5DE4"/>
    <w:rsid w:val="004F3AAE"/>
    <w:rsid w:val="00524CC7"/>
    <w:rsid w:val="0056745B"/>
    <w:rsid w:val="00587A6D"/>
    <w:rsid w:val="00605F48"/>
    <w:rsid w:val="00642BBE"/>
    <w:rsid w:val="006861B0"/>
    <w:rsid w:val="006B2883"/>
    <w:rsid w:val="006E7342"/>
    <w:rsid w:val="00732802"/>
    <w:rsid w:val="0073688F"/>
    <w:rsid w:val="00786BF5"/>
    <w:rsid w:val="00794B2E"/>
    <w:rsid w:val="007C7BC8"/>
    <w:rsid w:val="00820E98"/>
    <w:rsid w:val="008B6989"/>
    <w:rsid w:val="00954C6F"/>
    <w:rsid w:val="009570EE"/>
    <w:rsid w:val="00995D03"/>
    <w:rsid w:val="00A0625B"/>
    <w:rsid w:val="00A53076"/>
    <w:rsid w:val="00A83ACD"/>
    <w:rsid w:val="00A86988"/>
    <w:rsid w:val="00A87144"/>
    <w:rsid w:val="00A94D61"/>
    <w:rsid w:val="00AA481A"/>
    <w:rsid w:val="00AE3302"/>
    <w:rsid w:val="00B176BD"/>
    <w:rsid w:val="00B52C1C"/>
    <w:rsid w:val="00B5650A"/>
    <w:rsid w:val="00B96006"/>
    <w:rsid w:val="00BC73D9"/>
    <w:rsid w:val="00BE762B"/>
    <w:rsid w:val="00C035C0"/>
    <w:rsid w:val="00C11603"/>
    <w:rsid w:val="00C43D3E"/>
    <w:rsid w:val="00CB2B3D"/>
    <w:rsid w:val="00D03212"/>
    <w:rsid w:val="00D115E7"/>
    <w:rsid w:val="00D119D7"/>
    <w:rsid w:val="00D31CF1"/>
    <w:rsid w:val="00D32689"/>
    <w:rsid w:val="00D41DBB"/>
    <w:rsid w:val="00D70EC2"/>
    <w:rsid w:val="00D91371"/>
    <w:rsid w:val="00DA54CF"/>
    <w:rsid w:val="00DA5DAF"/>
    <w:rsid w:val="00DE2458"/>
    <w:rsid w:val="00DF47AA"/>
    <w:rsid w:val="00DF66D6"/>
    <w:rsid w:val="00DF7BC1"/>
    <w:rsid w:val="00E02025"/>
    <w:rsid w:val="00E362A7"/>
    <w:rsid w:val="00E57DE3"/>
    <w:rsid w:val="00E70CF5"/>
    <w:rsid w:val="00F0487F"/>
    <w:rsid w:val="00F4063A"/>
    <w:rsid w:val="00F46C9A"/>
    <w:rsid w:val="00F53D35"/>
    <w:rsid w:val="00F76DB5"/>
    <w:rsid w:val="00FA3A9A"/>
    <w:rsid w:val="04870F9E"/>
    <w:rsid w:val="058B3D03"/>
    <w:rsid w:val="08DB2D75"/>
    <w:rsid w:val="0ADD3FAE"/>
    <w:rsid w:val="0CDD2D53"/>
    <w:rsid w:val="10E540B1"/>
    <w:rsid w:val="181B0BD3"/>
    <w:rsid w:val="25981347"/>
    <w:rsid w:val="27321A96"/>
    <w:rsid w:val="2BBF5B57"/>
    <w:rsid w:val="2C482A44"/>
    <w:rsid w:val="2C964A81"/>
    <w:rsid w:val="2EC211EA"/>
    <w:rsid w:val="2F544DDB"/>
    <w:rsid w:val="347F2794"/>
    <w:rsid w:val="34A62CC8"/>
    <w:rsid w:val="38A47AEF"/>
    <w:rsid w:val="3AA06FEA"/>
    <w:rsid w:val="408558EA"/>
    <w:rsid w:val="46F756C3"/>
    <w:rsid w:val="4763768D"/>
    <w:rsid w:val="4A865792"/>
    <w:rsid w:val="4AE253FD"/>
    <w:rsid w:val="4E7D5950"/>
    <w:rsid w:val="4F712E0C"/>
    <w:rsid w:val="4FA76912"/>
    <w:rsid w:val="51983002"/>
    <w:rsid w:val="51D5531F"/>
    <w:rsid w:val="52901701"/>
    <w:rsid w:val="54FC26B7"/>
    <w:rsid w:val="553D1193"/>
    <w:rsid w:val="59E049F9"/>
    <w:rsid w:val="59ED08EF"/>
    <w:rsid w:val="5EC53368"/>
    <w:rsid w:val="61F061FA"/>
    <w:rsid w:val="63A07F6E"/>
    <w:rsid w:val="677F6056"/>
    <w:rsid w:val="6E1C4834"/>
    <w:rsid w:val="79EC7DDC"/>
    <w:rsid w:val="7B833836"/>
    <w:rsid w:val="7CAB1F8B"/>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spacing w:line="360" w:lineRule="auto"/>
      <w:ind w:left="360" w:firstLine="420" w:firstLineChars="200"/>
    </w:pPr>
    <w:rPr>
      <w:sz w:val="24"/>
      <w:szCs w:val="24"/>
    </w:rPr>
  </w:style>
  <w:style w:type="paragraph" w:styleId="5">
    <w:name w:val="Body Text"/>
    <w:basedOn w:val="1"/>
    <w:next w:val="6"/>
    <w:autoRedefine/>
    <w:qFormat/>
    <w:uiPriority w:val="0"/>
    <w:rPr>
      <w:rFonts w:ascii="仿宋_GB2312" w:eastAsia="仿宋_GB2312"/>
      <w:sz w:val="32"/>
    </w:rPr>
  </w:style>
  <w:style w:type="paragraph" w:styleId="6">
    <w:name w:val="Plain Text"/>
    <w:basedOn w:val="1"/>
    <w:autoRedefine/>
    <w:qFormat/>
    <w:uiPriority w:val="0"/>
    <w:rPr>
      <w:rFonts w:ascii="宋体" w:hAnsi="Courier New"/>
      <w:sz w:val="21"/>
    </w:rPr>
  </w:style>
  <w:style w:type="paragraph" w:styleId="7">
    <w:name w:val="Body Text Indent 2"/>
    <w:basedOn w:val="1"/>
    <w:autoRedefine/>
    <w:qFormat/>
    <w:uiPriority w:val="0"/>
    <w:pPr>
      <w:snapToGrid w:val="0"/>
      <w:spacing w:line="560" w:lineRule="atLeast"/>
      <w:ind w:firstLine="540"/>
    </w:pPr>
  </w:style>
  <w:style w:type="paragraph" w:styleId="8">
    <w:name w:val="footer"/>
    <w:basedOn w:val="1"/>
    <w:link w:val="20"/>
    <w:autoRedefine/>
    <w:qFormat/>
    <w:uiPriority w:val="0"/>
    <w:pPr>
      <w:tabs>
        <w:tab w:val="center" w:pos="4153"/>
        <w:tab w:val="right" w:pos="8306"/>
      </w:tabs>
      <w:snapToGrid w:val="0"/>
      <w:jc w:val="left"/>
    </w:pPr>
    <w:rPr>
      <w:sz w:val="18"/>
      <w:szCs w:val="18"/>
    </w:rPr>
  </w:style>
  <w:style w:type="paragraph" w:styleId="9">
    <w:name w:val="header"/>
    <w:basedOn w:val="1"/>
    <w:link w:val="19"/>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5"/>
    <w:next w:val="11"/>
    <w:autoRedefine/>
    <w:qFormat/>
    <w:uiPriority w:val="0"/>
    <w:pPr>
      <w:spacing w:line="360" w:lineRule="auto"/>
      <w:ind w:firstLine="420"/>
    </w:pPr>
    <w:rPr>
      <w:rFonts w:ascii="宋体" w:hAnsi="宋体"/>
      <w:sz w:val="24"/>
    </w:rPr>
  </w:style>
  <w:style w:type="paragraph" w:customStyle="1" w:styleId="11">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正文格式"/>
    <w:basedOn w:val="16"/>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6">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
    <w:name w:val="Heading3"/>
    <w:basedOn w:val="1"/>
    <w:next w:val="1"/>
    <w:autoRedefine/>
    <w:qFormat/>
    <w:uiPriority w:val="0"/>
    <w:pPr>
      <w:keepNext/>
      <w:keepLines/>
      <w:spacing w:before="260" w:after="260" w:line="412" w:lineRule="auto"/>
    </w:pPr>
    <w:rPr>
      <w:b/>
      <w:bCs/>
      <w:sz w:val="32"/>
      <w:szCs w:val="32"/>
    </w:rPr>
  </w:style>
  <w:style w:type="paragraph" w:customStyle="1" w:styleId="18">
    <w:name w:val="信息部正文"/>
    <w:basedOn w:val="1"/>
    <w:autoRedefine/>
    <w:qFormat/>
    <w:uiPriority w:val="0"/>
    <w:pPr>
      <w:ind w:firstLine="480" w:firstLineChars="200"/>
    </w:pPr>
    <w:rPr>
      <w:rFonts w:ascii="宋体" w:hAnsi="宋体" w:cs="宋体"/>
    </w:rPr>
  </w:style>
  <w:style w:type="character" w:customStyle="1" w:styleId="19">
    <w:name w:val="页眉 字符"/>
    <w:basedOn w:val="14"/>
    <w:link w:val="9"/>
    <w:autoRedefine/>
    <w:qFormat/>
    <w:uiPriority w:val="0"/>
    <w:rPr>
      <w:kern w:val="2"/>
      <w:sz w:val="18"/>
      <w:szCs w:val="18"/>
    </w:rPr>
  </w:style>
  <w:style w:type="character" w:customStyle="1" w:styleId="20">
    <w:name w:val="页脚 字符"/>
    <w:basedOn w:val="14"/>
    <w:link w:val="8"/>
    <w:autoRedefine/>
    <w:qFormat/>
    <w:uiPriority w:val="0"/>
    <w:rPr>
      <w:kern w:val="2"/>
      <w:sz w:val="18"/>
      <w:szCs w:val="18"/>
    </w:rPr>
  </w:style>
  <w:style w:type="paragraph" w:styleId="21">
    <w:name w:val="List Paragraph"/>
    <w:basedOn w:val="1"/>
    <w:autoRedefine/>
    <w:qFormat/>
    <w:uiPriority w:val="99"/>
    <w:pPr>
      <w:ind w:firstLine="420" w:firstLineChars="200"/>
    </w:pPr>
  </w:style>
  <w:style w:type="paragraph" w:customStyle="1" w:styleId="22">
    <w:name w:val="00"/>
    <w:basedOn w:val="1"/>
    <w:qFormat/>
    <w:uiPriority w:val="0"/>
    <w:pPr>
      <w:autoSpaceDE w:val="0"/>
      <w:autoSpaceDN w:val="0"/>
      <w:adjustRightInd w:val="0"/>
      <w:jc w:val="left"/>
    </w:pPr>
    <w:rPr>
      <w:rFonts w:ascii="黑体" w:eastAsia="黑体"/>
      <w:b/>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609</Words>
  <Characters>3473</Characters>
  <Lines>28</Lines>
  <Paragraphs>8</Paragraphs>
  <TotalTime>90</TotalTime>
  <ScaleCrop>false</ScaleCrop>
  <LinksUpToDate>false</LinksUpToDate>
  <CharactersWithSpaces>4074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2023-08-02T08:02:00Z</dcterms:created>
  <dc:creator>丹姐</dc:creator>
  <cp:lastModifiedBy>红尘</cp:lastModifiedBy>
  <cp:lastPrinted>2023-12-26T06:25:40Z</cp:lastPrinted>
  <dcterms:modified xsi:type="dcterms:W3CDTF">2023-12-26T06:51:57Z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AB53DA4382DF4979BB67AF1D2F56C68F_13</vt:lpwstr>
  </property>
</Properties>
</file>