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p>
      <w:pPr>
        <w:widowControl w:val="0"/>
        <w:shd w:val="clear"/>
        <w:spacing w:line="240" w:lineRule="auto"/>
        <w:ind w:firstLine="0" w:firstLineChars="0"/>
        <w:jc w:val="center"/>
        <w:rPr>
          <w:rFonts w:hint="eastAsia" w:ascii="宋体" w:hAnsi="宋体" w:cs="宋体"/>
          <w:b/>
          <w:bCs/>
          <w:sz w:val="96"/>
          <w:szCs w:val="56"/>
        </w:rPr>
      </w:pPr>
      <w:r>
        <w:rPr>
          <w:rFonts w:hint="eastAsia" w:ascii="宋体" w:hAnsi="宋体" w:cs="宋体"/>
          <w:b/>
          <w:bCs/>
          <w:sz w:val="96"/>
          <w:szCs w:val="56"/>
        </w:rPr>
        <w:t>询价文件</w:t>
      </w:r>
    </w:p>
    <w:p/>
    <w:p/>
    <w:p/>
    <w:p/>
    <w:p>
      <w:pPr>
        <w:widowControl/>
        <w:shd w:val="clear" w:color="auto" w:fill="FFFFFF"/>
        <w:spacing w:line="500" w:lineRule="exact"/>
        <w:ind w:firstLine="0" w:firstLineChars="0"/>
        <w:jc w:val="center"/>
        <w:rPr>
          <w:rFonts w:hint="eastAsia" w:ascii="宋体" w:hAnsi="宋体" w:cs="宋体"/>
          <w:b/>
          <w:bCs/>
          <w:kern w:val="0"/>
          <w:sz w:val="40"/>
          <w:szCs w:val="40"/>
        </w:rPr>
      </w:pPr>
      <w:r>
        <w:rPr>
          <w:rFonts w:hint="eastAsia" w:ascii="宋体" w:hAnsi="宋体" w:cs="宋体"/>
          <w:b/>
          <w:bCs/>
          <w:kern w:val="0"/>
          <w:sz w:val="40"/>
          <w:szCs w:val="40"/>
        </w:rPr>
        <w:t>项目名称: 三峡考古出土文物三维数据采集及3D打印</w:t>
      </w:r>
    </w:p>
    <w:p>
      <w:pPr>
        <w:widowControl/>
        <w:shd w:val="clear" w:color="auto" w:fill="FFFFFF"/>
        <w:spacing w:line="500" w:lineRule="exact"/>
        <w:ind w:firstLine="0" w:firstLineChars="0"/>
        <w:jc w:val="center"/>
        <w:rPr>
          <w:rFonts w:hint="eastAsia" w:ascii="宋体" w:hAnsi="宋体" w:cs="宋体"/>
          <w:b/>
          <w:bCs/>
          <w:kern w:val="0"/>
          <w:sz w:val="40"/>
          <w:szCs w:val="40"/>
        </w:rPr>
      </w:pPr>
    </w:p>
    <w:p>
      <w:pPr>
        <w:widowControl/>
        <w:shd w:val="clear" w:color="auto" w:fill="FFFFFF"/>
        <w:spacing w:line="500" w:lineRule="exact"/>
        <w:ind w:firstLine="0" w:firstLineChars="0"/>
        <w:jc w:val="center"/>
        <w:rPr>
          <w:rFonts w:hint="eastAsia" w:ascii="宋体" w:hAnsi="宋体" w:cs="宋体"/>
          <w:b/>
          <w:bCs/>
          <w:kern w:val="0"/>
          <w:sz w:val="40"/>
          <w:szCs w:val="40"/>
        </w:rPr>
      </w:pPr>
      <w:r>
        <w:rPr>
          <w:rFonts w:hint="eastAsia" w:ascii="宋体" w:hAnsi="宋体" w:cs="宋体"/>
          <w:b/>
          <w:bCs/>
          <w:kern w:val="0"/>
          <w:sz w:val="40"/>
          <w:szCs w:val="40"/>
        </w:rPr>
        <w:t>采购人：重庆市文物考古研究院</w:t>
      </w:r>
    </w:p>
    <w:p>
      <w:pPr>
        <w:widowControl/>
        <w:shd w:val="clear" w:color="auto" w:fill="FFFFFF"/>
        <w:spacing w:line="500" w:lineRule="exact"/>
        <w:ind w:firstLine="0" w:firstLineChars="0"/>
        <w:jc w:val="center"/>
        <w:rPr>
          <w:rFonts w:hint="eastAsia" w:ascii="宋体" w:hAnsi="宋体" w:cs="宋体"/>
          <w:b/>
          <w:bCs/>
          <w:kern w:val="0"/>
          <w:sz w:val="40"/>
          <w:szCs w:val="40"/>
        </w:rPr>
      </w:pPr>
      <w:r>
        <w:rPr>
          <w:rFonts w:hint="eastAsia" w:ascii="宋体" w:hAnsi="宋体" w:cs="宋体"/>
          <w:b/>
          <w:bCs/>
          <w:kern w:val="0"/>
          <w:sz w:val="40"/>
          <w:szCs w:val="40"/>
        </w:rPr>
        <w:t xml:space="preserve">        （重庆文化遗产保护中心）</w:t>
      </w:r>
    </w:p>
    <w:p>
      <w:pPr>
        <w:widowControl/>
        <w:shd w:val="clear" w:color="auto" w:fill="FFFFFF"/>
        <w:spacing w:line="500" w:lineRule="exact"/>
        <w:ind w:firstLine="0" w:firstLineChars="0"/>
        <w:jc w:val="center"/>
        <w:rPr>
          <w:rFonts w:hint="eastAsia" w:ascii="宋体" w:hAnsi="宋体" w:cs="宋体"/>
          <w:b/>
          <w:bCs/>
          <w:kern w:val="0"/>
          <w:sz w:val="40"/>
          <w:szCs w:val="40"/>
        </w:rPr>
      </w:pPr>
    </w:p>
    <w:p>
      <w:pPr>
        <w:widowControl/>
        <w:shd w:val="clear" w:color="auto" w:fill="FFFFFF"/>
        <w:spacing w:line="500" w:lineRule="exact"/>
        <w:ind w:firstLine="0" w:firstLineChars="0"/>
        <w:jc w:val="center"/>
        <w:rPr>
          <w:rFonts w:hint="eastAsia" w:ascii="宋体" w:hAnsi="宋体" w:cs="宋体"/>
          <w:b/>
          <w:bCs/>
          <w:kern w:val="0"/>
          <w:sz w:val="40"/>
          <w:szCs w:val="40"/>
        </w:rPr>
      </w:pPr>
    </w:p>
    <w:p>
      <w:pPr>
        <w:widowControl/>
        <w:shd w:val="clear" w:color="auto" w:fill="FFFFFF"/>
        <w:spacing w:line="500" w:lineRule="exact"/>
        <w:ind w:firstLine="0" w:firstLineChars="0"/>
        <w:jc w:val="center"/>
        <w:rPr>
          <w:rFonts w:hint="eastAsia" w:ascii="宋体" w:hAnsi="宋体" w:cs="宋体"/>
          <w:b/>
          <w:bCs/>
          <w:kern w:val="0"/>
          <w:sz w:val="40"/>
          <w:szCs w:val="40"/>
        </w:rPr>
      </w:pPr>
      <w:r>
        <w:rPr>
          <w:rFonts w:hint="eastAsia" w:ascii="宋体" w:hAnsi="宋体" w:cs="宋体"/>
          <w:b/>
          <w:bCs/>
          <w:kern w:val="0"/>
          <w:sz w:val="40"/>
          <w:szCs w:val="40"/>
        </w:rPr>
        <w:t>二〇二四年三月</w:t>
      </w:r>
    </w:p>
    <w:p/>
    <w:p/>
    <w:p/>
    <w:p/>
    <w:p>
      <w:pPr>
        <w:pStyle w:val="15"/>
        <w:ind w:firstLine="643"/>
      </w:pPr>
    </w:p>
    <w:p/>
    <w:p/>
    <w:p/>
    <w:p/>
    <w:p/>
    <w:p/>
    <w:p>
      <w:pPr>
        <w:widowControl/>
        <w:shd w:val="clear" w:color="auto" w:fill="FFFFFF"/>
        <w:spacing w:line="500" w:lineRule="exact"/>
        <w:ind w:firstLine="0" w:firstLineChars="0"/>
        <w:jc w:val="center"/>
        <w:rPr>
          <w:rFonts w:hint="eastAsia" w:ascii="宋体" w:hAnsi="宋体" w:cs="宋体"/>
          <w:b/>
          <w:bCs/>
          <w:kern w:val="0"/>
          <w:sz w:val="32"/>
          <w:szCs w:val="32"/>
        </w:rPr>
      </w:pPr>
      <w:r>
        <w:rPr>
          <w:rFonts w:hint="eastAsia" w:ascii="宋体" w:hAnsi="宋体" w:cs="宋体"/>
          <w:b/>
          <w:bCs/>
          <w:kern w:val="0"/>
          <w:sz w:val="32"/>
          <w:szCs w:val="32"/>
        </w:rPr>
        <w:t>询价公告</w:t>
      </w:r>
    </w:p>
    <w:p>
      <w:pPr>
        <w:pStyle w:val="19"/>
        <w:widowControl/>
        <w:numPr>
          <w:ilvl w:val="0"/>
          <w:numId w:val="1"/>
        </w:numPr>
        <w:shd w:val="clear" w:color="auto" w:fill="FFFFFF"/>
        <w:spacing w:line="500" w:lineRule="exact"/>
        <w:ind w:firstLineChars="0"/>
        <w:jc w:val="left"/>
        <w:rPr>
          <w:rFonts w:hint="eastAsia" w:ascii="宋体" w:hAnsi="宋体" w:cs="宋体"/>
          <w:b/>
          <w:bCs/>
          <w:kern w:val="0"/>
          <w:sz w:val="24"/>
          <w:szCs w:val="24"/>
        </w:rPr>
      </w:pPr>
      <w:r>
        <w:rPr>
          <w:rFonts w:hint="eastAsia" w:ascii="宋体" w:hAnsi="宋体" w:cs="宋体"/>
          <w:b/>
          <w:bCs/>
          <w:kern w:val="0"/>
          <w:sz w:val="24"/>
          <w:szCs w:val="24"/>
        </w:rPr>
        <w:t>服务内容</w:t>
      </w:r>
    </w:p>
    <w:p>
      <w:r>
        <w:rPr>
          <w:rFonts w:hint="eastAsia"/>
        </w:rPr>
        <w:t>为深入开展文物数字化保护和创新展示，建立全面的文物数字化档案，探索文物保护和传播的新途径，我院拟委托专业机构合作开展部分三峡考古出土文物三维数据采集及3D打印工作。</w:t>
      </w:r>
    </w:p>
    <w:p>
      <w:pPr>
        <w:pStyle w:val="19"/>
        <w:widowControl/>
        <w:numPr>
          <w:numId w:val="0"/>
        </w:numPr>
        <w:shd w:val="clear" w:color="auto" w:fill="FFFFFF"/>
        <w:spacing w:line="500" w:lineRule="exact"/>
        <w:ind w:left="482" w:leftChars="0"/>
        <w:jc w:val="left"/>
        <w:rPr>
          <w:rFonts w:hint="eastAsia" w:ascii="宋体" w:hAnsi="宋体" w:cs="宋体"/>
          <w:b/>
          <w:bCs/>
          <w:kern w:val="0"/>
          <w:sz w:val="24"/>
          <w:szCs w:val="24"/>
        </w:rPr>
      </w:pPr>
      <w:r>
        <w:rPr>
          <w:rFonts w:hint="eastAsia" w:ascii="宋体" w:hAnsi="宋体" w:cs="宋体"/>
          <w:b/>
          <w:bCs/>
          <w:kern w:val="0"/>
          <w:sz w:val="24"/>
          <w:szCs w:val="24"/>
        </w:rPr>
        <w:t>二、采购最高限价</w:t>
      </w:r>
    </w:p>
    <w:p>
      <w:r>
        <w:rPr>
          <w:rFonts w:hint="eastAsia"/>
        </w:rPr>
        <w:t>人民币</w:t>
      </w:r>
      <w:r>
        <w:t>45000</w:t>
      </w:r>
      <w:r>
        <w:rPr>
          <w:rFonts w:hint="eastAsia"/>
        </w:rPr>
        <w:t>元，大写：肆万伍仟元整。</w:t>
      </w:r>
    </w:p>
    <w:p>
      <w:pPr>
        <w:rPr>
          <w:rFonts w:hint="eastAsia" w:ascii="宋体" w:hAnsi="宋体" w:eastAsia="宋体" w:cs="宋体"/>
          <w:b/>
          <w:bCs/>
          <w:color w:val="000000" w:themeColor="text1"/>
          <w:kern w:val="0"/>
          <w:sz w:val="24"/>
          <w:szCs w:val="24"/>
          <w:lang w:val="en-US" w:eastAsia="zh-CN" w:bidi="ar-SA"/>
          <w14:textFill>
            <w14:solidFill>
              <w14:schemeClr w14:val="tx1"/>
            </w14:solidFill>
          </w14:textFill>
        </w:rPr>
      </w:pPr>
      <w:r>
        <w:rPr>
          <w:rFonts w:hint="eastAsia" w:ascii="宋体" w:hAnsi="宋体" w:eastAsia="宋体" w:cs="宋体"/>
          <w:b/>
          <w:bCs/>
          <w:color w:val="000000" w:themeColor="text1"/>
          <w:kern w:val="0"/>
          <w:sz w:val="24"/>
          <w:szCs w:val="24"/>
          <w:lang w:val="en-US" w:eastAsia="zh-CN" w:bidi="ar-SA"/>
          <w14:textFill>
            <w14:solidFill>
              <w14:schemeClr w14:val="tx1"/>
            </w14:solidFill>
          </w14:textFill>
        </w:rPr>
        <w:t>三、技术要求</w:t>
      </w:r>
    </w:p>
    <w:p>
      <w:r>
        <w:rPr>
          <w:rFonts w:hint="eastAsia"/>
        </w:rPr>
        <w:t>主要工作内容如下：</w:t>
      </w:r>
    </w:p>
    <w:p>
      <w:r>
        <w:rPr>
          <w:rFonts w:hint="eastAsia"/>
        </w:rPr>
        <w:t>完成</w:t>
      </w:r>
      <w:r>
        <w:t>10</w:t>
      </w:r>
      <w:r>
        <w:rPr>
          <w:rFonts w:hint="eastAsia"/>
        </w:rPr>
        <w:t>件</w:t>
      </w:r>
      <w:r>
        <w:t>三峡考古出土文物高精度三维扫描</w:t>
      </w:r>
      <w:r>
        <w:rPr>
          <w:rFonts w:hint="eastAsia"/>
        </w:rPr>
        <w:t>，针对15件文物三维数据开展模型建立及优化，并高质量3D打印</w:t>
      </w:r>
      <w:r>
        <w:t>15件</w:t>
      </w:r>
      <w:r>
        <w:rPr>
          <w:rFonts w:hint="eastAsia"/>
        </w:rPr>
        <w:t>文物。</w:t>
      </w:r>
    </w:p>
    <w:p>
      <w:pPr>
        <w:spacing w:line="594" w:lineRule="exact"/>
      </w:pPr>
      <w:r>
        <w:rPr>
          <w:rFonts w:hint="eastAsia"/>
        </w:rPr>
        <w:t>三维采集要求：1.要求采用手持式三维激光扫描仪无接触采集方式，确保文物采集过程中的文物安全；2</w:t>
      </w:r>
      <w:r>
        <w:t>.</w:t>
      </w:r>
      <w:r>
        <w:rPr>
          <w:rFonts w:hint="eastAsia"/>
        </w:rPr>
        <w:t>采用高精度三维扫描设备，最高测量精度达到0.0</w:t>
      </w:r>
      <w:r>
        <w:t>1</w:t>
      </w:r>
      <w:r>
        <w:rPr>
          <w:rFonts w:hint="eastAsia"/>
        </w:rPr>
        <w:t>mm；3</w:t>
      </w:r>
      <w:r>
        <w:t>.</w:t>
      </w:r>
      <w:r>
        <w:rPr>
          <w:rFonts w:hint="eastAsia"/>
        </w:rPr>
        <w:t>三维点云最小点间距达到0.018mm；4</w:t>
      </w:r>
      <w:r>
        <w:t>.</w:t>
      </w:r>
      <w:r>
        <w:rPr>
          <w:rFonts w:hint="eastAsia"/>
        </w:rPr>
        <w:t>采集文物表面可见外表面点云覆盖率≥95%，无明显噪声；5</w:t>
      </w:r>
      <w:r>
        <w:t>.</w:t>
      </w:r>
      <w:r>
        <w:rPr>
          <w:rFonts w:hint="eastAsia"/>
        </w:rPr>
        <w:t>点云数据存储格式为*.stl或asc。</w:t>
      </w:r>
    </w:p>
    <w:p>
      <w:pPr>
        <w:spacing w:line="594" w:lineRule="exact"/>
        <w:rPr>
          <w:rFonts w:hint="eastAsia"/>
        </w:rPr>
      </w:pPr>
      <w:r>
        <w:rPr>
          <w:rFonts w:hint="eastAsia"/>
        </w:rPr>
        <w:t>三维模型要求：</w:t>
      </w:r>
      <w:r>
        <w:t>1.</w:t>
      </w:r>
      <w:r>
        <w:rPr>
          <w:rFonts w:hint="eastAsia"/>
        </w:rPr>
        <w:t>坐标系原点为文物中心或文物底部，Z轴为物体静置状态下的重力的反方向，坐标值单位为毫米（mm）；2</w:t>
      </w:r>
      <w:r>
        <w:t>.</w:t>
      </w:r>
      <w:r>
        <w:rPr>
          <w:rFonts w:hint="eastAsia"/>
        </w:rPr>
        <w:t>部分模型平均点间距达到0.2mm，部分模型平均点间距达到0.1mm，部分模型平均点间距达到0.018mm；3</w:t>
      </w:r>
      <w:r>
        <w:t>.</w:t>
      </w:r>
      <w:r>
        <w:rPr>
          <w:rFonts w:hint="eastAsia"/>
        </w:rPr>
        <w:t>模型无缺漏；4</w:t>
      </w:r>
      <w:r>
        <w:t>.</w:t>
      </w:r>
      <w:r>
        <w:rPr>
          <w:rFonts w:hint="eastAsia"/>
        </w:rPr>
        <w:t>三维素模数据存储格式为*.STL。</w:t>
      </w:r>
    </w:p>
    <w:p>
      <w:pPr>
        <w:snapToGrid w:val="0"/>
        <w:spacing w:line="400" w:lineRule="exact"/>
        <w:rPr>
          <w:rFonts w:hint="eastAsia"/>
        </w:rPr>
      </w:pPr>
      <w:r>
        <w:rPr>
          <w:rFonts w:hint="eastAsia"/>
        </w:rPr>
        <w:t>3D打印要求：1.按照文物实际尺寸1:1高精细度打印；2. 实施严格的质量控制流程和标准，包括打印后的质量检验和尺寸精度验证；3.提供后处理服务，如打磨、热处理或其他定制服务，以提高打印产品的外观和质量。</w:t>
      </w:r>
    </w:p>
    <w:p>
      <w:pPr>
        <w:shd w:val="clear" w:color="auto" w:fill="FFFFFF"/>
        <w:rPr>
          <w:rFonts w:hint="eastAsia" w:ascii="宋体" w:hAnsi="宋体" w:eastAsia="宋体" w:cs="宋体"/>
          <w:b/>
          <w:bCs/>
          <w:color w:val="000000" w:themeColor="text1"/>
          <w:kern w:val="0"/>
          <w:sz w:val="24"/>
          <w:szCs w:val="24"/>
          <w:lang w:val="en-US" w:eastAsia="zh-CN" w:bidi="ar-SA"/>
          <w14:textFill>
            <w14:solidFill>
              <w14:schemeClr w14:val="tx1"/>
            </w14:solidFill>
          </w14:textFill>
        </w:rPr>
      </w:pPr>
      <w:r>
        <w:rPr>
          <w:rFonts w:hint="eastAsia" w:ascii="宋体" w:hAnsi="宋体" w:eastAsia="宋体" w:cs="宋体"/>
          <w:b/>
          <w:bCs/>
          <w:color w:val="000000" w:themeColor="text1"/>
          <w:kern w:val="0"/>
          <w:sz w:val="24"/>
          <w:szCs w:val="24"/>
          <w:lang w:val="en-US" w:eastAsia="zh-CN" w:bidi="ar-SA"/>
          <w14:textFill>
            <w14:solidFill>
              <w14:schemeClr w14:val="tx1"/>
            </w14:solidFill>
          </w14:textFill>
        </w:rPr>
        <w:t>四、供应商资格要求</w:t>
      </w:r>
    </w:p>
    <w:p>
      <w:r>
        <w:rPr>
          <w:rFonts w:hint="eastAsia"/>
        </w:rPr>
        <w:t>1.具有独立承担民事责任能力；</w:t>
      </w:r>
    </w:p>
    <w:p>
      <w:r>
        <w:rPr>
          <w:rFonts w:hint="eastAsia"/>
        </w:rPr>
        <w:t>2.具有良好商业信誉；</w:t>
      </w:r>
    </w:p>
    <w:p>
      <w:r>
        <w:rPr>
          <w:rFonts w:hint="eastAsia"/>
        </w:rPr>
        <w:t>3.具有履行合同所必需的设备和专业技术能力；</w:t>
      </w:r>
    </w:p>
    <w:p>
      <w:r>
        <w:rPr>
          <w:rFonts w:hint="eastAsia"/>
        </w:rPr>
        <w:t>4.有依法缴纳税收和社会保障资金的良好记录；</w:t>
      </w:r>
    </w:p>
    <w:p>
      <w:r>
        <w:rPr>
          <w:rFonts w:hint="eastAsia"/>
        </w:rPr>
        <w:t>5.参与政府采购活动前三年，在经营过程中无重大无法记录；</w:t>
      </w:r>
    </w:p>
    <w:p>
      <w:r>
        <w:rPr>
          <w:rFonts w:hint="eastAsia"/>
        </w:rPr>
        <w:t>6.法律、行政法规规定的其它条件。</w:t>
      </w:r>
    </w:p>
    <w:p>
      <w:r>
        <w:rPr>
          <w:rFonts w:hint="eastAsia"/>
        </w:rPr>
        <w:t>7.特定资格条件：无</w:t>
      </w:r>
    </w:p>
    <w:p>
      <w:pPr>
        <w:shd w:val="clear" w:color="auto" w:fill="FFFFFF"/>
        <w:rPr>
          <w:rFonts w:hint="eastAsia" w:ascii="宋体" w:hAnsi="宋体" w:eastAsia="宋体" w:cs="宋体"/>
          <w:b/>
          <w:bCs/>
          <w:color w:val="000000" w:themeColor="text1"/>
          <w:kern w:val="0"/>
          <w:sz w:val="24"/>
          <w:szCs w:val="24"/>
          <w:lang w:val="en-US" w:eastAsia="zh-CN" w:bidi="ar-SA"/>
          <w14:textFill>
            <w14:solidFill>
              <w14:schemeClr w14:val="tx1"/>
            </w14:solidFill>
          </w14:textFill>
        </w:rPr>
      </w:pPr>
      <w:r>
        <w:rPr>
          <w:rFonts w:hint="eastAsia" w:ascii="宋体" w:hAnsi="宋体" w:eastAsia="宋体" w:cs="宋体"/>
          <w:b/>
          <w:bCs/>
          <w:color w:val="000000" w:themeColor="text1"/>
          <w:kern w:val="0"/>
          <w:sz w:val="24"/>
          <w:szCs w:val="24"/>
          <w:lang w:val="en-US" w:eastAsia="zh-CN" w:bidi="ar-SA"/>
          <w14:textFill>
            <w14:solidFill>
              <w14:schemeClr w14:val="tx1"/>
            </w14:solidFill>
          </w14:textFill>
        </w:rPr>
        <w:t>五、采购服务约定</w:t>
      </w:r>
    </w:p>
    <w:p>
      <w:r>
        <w:rPr>
          <w:rFonts w:hint="eastAsia"/>
        </w:rPr>
        <w:t>1.服务周期</w:t>
      </w:r>
    </w:p>
    <w:p>
      <w:r>
        <w:rPr>
          <w:rFonts w:hint="eastAsia"/>
        </w:rPr>
        <w:t>签订合同后</w:t>
      </w:r>
      <w:r>
        <w:t>20</w:t>
      </w:r>
      <w:r>
        <w:rPr>
          <w:rFonts w:hint="eastAsia"/>
        </w:rPr>
        <w:t>个日历日前完成全部工作并经甲方验收合格。</w:t>
      </w:r>
    </w:p>
    <w:p>
      <w:r>
        <w:rPr>
          <w:rFonts w:hint="eastAsia"/>
        </w:rPr>
        <w:t>2.服务地点</w:t>
      </w:r>
    </w:p>
    <w:p>
      <w:r>
        <w:rPr>
          <w:rFonts w:hint="eastAsia"/>
        </w:rPr>
        <w:t>服务地点：我院指定地点。</w:t>
      </w:r>
    </w:p>
    <w:p>
      <w:r>
        <w:rPr>
          <w:rFonts w:hint="eastAsia"/>
        </w:rPr>
        <w:t>3.验收方式：</w:t>
      </w:r>
    </w:p>
    <w:p>
      <w:r>
        <w:rPr>
          <w:rFonts w:hint="eastAsia"/>
        </w:rPr>
        <w:t>通过甲方组织的验收。</w:t>
      </w:r>
    </w:p>
    <w:p>
      <w:pPr>
        <w:shd w:val="clear" w:color="auto" w:fill="FFFFFF"/>
        <w:rPr>
          <w:rFonts w:hint="eastAsia" w:ascii="宋体" w:hAnsi="宋体" w:eastAsia="宋体" w:cs="宋体"/>
          <w:b/>
          <w:bCs/>
          <w:color w:val="000000" w:themeColor="text1"/>
          <w:kern w:val="0"/>
          <w:sz w:val="24"/>
          <w:szCs w:val="24"/>
          <w:lang w:val="en-US" w:eastAsia="zh-CN" w:bidi="ar-SA"/>
          <w14:textFill>
            <w14:solidFill>
              <w14:schemeClr w14:val="tx1"/>
            </w14:solidFill>
          </w14:textFill>
        </w:rPr>
      </w:pPr>
      <w:r>
        <w:rPr>
          <w:rFonts w:hint="eastAsia" w:ascii="宋体" w:hAnsi="宋体" w:eastAsia="宋体" w:cs="宋体"/>
          <w:b/>
          <w:bCs/>
          <w:color w:val="000000" w:themeColor="text1"/>
          <w:kern w:val="0"/>
          <w:sz w:val="24"/>
          <w:szCs w:val="24"/>
          <w:lang w:val="en-US" w:eastAsia="zh-CN" w:bidi="ar-SA"/>
          <w14:textFill>
            <w14:solidFill>
              <w14:schemeClr w14:val="tx1"/>
            </w14:solidFill>
          </w14:textFill>
        </w:rPr>
        <w:t>六、报价要求及成交原则</w:t>
      </w:r>
    </w:p>
    <w:p>
      <w:r>
        <w:rPr>
          <w:rFonts w:hint="eastAsia"/>
        </w:rPr>
        <w:t>1.报价要求：</w:t>
      </w:r>
    </w:p>
    <w:p>
      <w:r>
        <w:rPr>
          <w:rFonts w:hint="eastAsia"/>
        </w:rPr>
        <w:t>本次报价须为人民币报价，包含服务费、工作人员工资、交通运输、后勤用品、技材、不可预见、安全措施、税费、运杂费、保险费、验收、等所有费用。因成交供应商自身原因造成漏报、少报皆由其自行承担责任，我院不再补偿。</w:t>
      </w:r>
    </w:p>
    <w:p>
      <w:r>
        <w:rPr>
          <w:rFonts w:hint="eastAsia"/>
        </w:rPr>
        <w:t>2.成交原则</w:t>
      </w:r>
    </w:p>
    <w:p>
      <w:r>
        <w:rPr>
          <w:rFonts w:hint="eastAsia"/>
        </w:rPr>
        <w:t>在符合本次采购要求、质量和服务的前提下，按最低价法确定成交供应商。</w:t>
      </w:r>
    </w:p>
    <w:p>
      <w:pPr>
        <w:shd w:val="clear" w:color="auto" w:fill="FFFFFF"/>
        <w:rPr>
          <w:rFonts w:hint="eastAsia" w:ascii="宋体" w:hAnsi="宋体" w:eastAsia="宋体" w:cs="宋体"/>
          <w:b/>
          <w:bCs/>
          <w:color w:val="000000" w:themeColor="text1"/>
          <w:kern w:val="0"/>
          <w:sz w:val="24"/>
          <w:szCs w:val="24"/>
          <w:lang w:val="en-US" w:eastAsia="zh-CN" w:bidi="ar-SA"/>
          <w14:textFill>
            <w14:solidFill>
              <w14:schemeClr w14:val="tx1"/>
            </w14:solidFill>
          </w14:textFill>
        </w:rPr>
      </w:pPr>
      <w:r>
        <w:rPr>
          <w:rFonts w:hint="eastAsia" w:ascii="宋体" w:hAnsi="宋体" w:eastAsia="宋体" w:cs="宋体"/>
          <w:b/>
          <w:bCs/>
          <w:color w:val="000000" w:themeColor="text1"/>
          <w:kern w:val="0"/>
          <w:sz w:val="24"/>
          <w:szCs w:val="24"/>
          <w:lang w:val="en-US" w:eastAsia="zh-CN" w:bidi="ar-SA"/>
          <w14:textFill>
            <w14:solidFill>
              <w14:schemeClr w14:val="tx1"/>
            </w14:solidFill>
          </w14:textFill>
        </w:rPr>
        <w:t>七、提交报价文件的份数和签署</w:t>
      </w:r>
    </w:p>
    <w:p>
      <w:pPr>
        <w:pStyle w:val="6"/>
        <w:ind w:firstLine="480"/>
      </w:pPr>
      <w:r>
        <w:rPr>
          <w:rFonts w:hint="eastAsia"/>
        </w:rPr>
        <w:t>1.报价文件一式一份。</w:t>
      </w:r>
    </w:p>
    <w:p>
      <w:pPr>
        <w:pStyle w:val="6"/>
        <w:ind w:firstLine="480"/>
      </w:pPr>
      <w:r>
        <w:rPr>
          <w:rFonts w:hint="eastAsia"/>
        </w:rPr>
        <w:t>2.在报价文件中规定签署、盖章的地方必须按其规定签署、盖章。否则视为无效报价。</w:t>
      </w:r>
    </w:p>
    <w:p>
      <w:pPr>
        <w:shd w:val="clear" w:color="auto" w:fill="FFFFFF"/>
        <w:rPr>
          <w:rFonts w:hint="eastAsia" w:ascii="宋体" w:hAnsi="宋体" w:eastAsia="宋体" w:cs="宋体"/>
          <w:b/>
          <w:bCs/>
          <w:color w:val="000000" w:themeColor="text1"/>
          <w:kern w:val="0"/>
          <w:sz w:val="24"/>
          <w:szCs w:val="24"/>
          <w:lang w:val="en-US" w:eastAsia="zh-CN" w:bidi="ar-SA"/>
          <w14:textFill>
            <w14:solidFill>
              <w14:schemeClr w14:val="tx1"/>
            </w14:solidFill>
          </w14:textFill>
        </w:rPr>
      </w:pPr>
      <w:r>
        <w:rPr>
          <w:rFonts w:hint="eastAsia" w:ascii="宋体" w:hAnsi="宋体" w:eastAsia="宋体" w:cs="宋体"/>
          <w:b/>
          <w:bCs/>
          <w:color w:val="000000" w:themeColor="text1"/>
          <w:kern w:val="0"/>
          <w:sz w:val="24"/>
          <w:szCs w:val="24"/>
          <w:lang w:val="en-US" w:eastAsia="zh-CN" w:bidi="ar-SA"/>
          <w14:textFill>
            <w14:solidFill>
              <w14:schemeClr w14:val="tx1"/>
            </w14:solidFill>
          </w14:textFill>
        </w:rPr>
        <w:t>八、付款方式：</w:t>
      </w:r>
    </w:p>
    <w:p>
      <w:r>
        <w:rPr>
          <w:rFonts w:hint="eastAsia"/>
        </w:rPr>
        <w:t>成交供应商约定时间完成全部工作并经甲方验收合格后10个工作日内，采购人一次性支付合同金额。成交供应商应在我院支付经费之前提供有效的票据，且成交供应商严格按照我院要求和格式提交相关资料，否则我院有权拒绝支付相关费用。</w:t>
      </w:r>
    </w:p>
    <w:p>
      <w:pPr>
        <w:shd w:val="clear" w:color="auto" w:fill="FFFFFF"/>
        <w:rPr>
          <w:rFonts w:hint="eastAsia" w:ascii="宋体" w:hAnsi="宋体" w:eastAsia="宋体" w:cs="宋体"/>
          <w:b/>
          <w:bCs/>
          <w:color w:val="000000" w:themeColor="text1"/>
          <w:kern w:val="0"/>
          <w:sz w:val="24"/>
          <w:szCs w:val="24"/>
          <w:lang w:val="en-US" w:eastAsia="zh-CN" w:bidi="ar-SA"/>
          <w14:textFill>
            <w14:solidFill>
              <w14:schemeClr w14:val="tx1"/>
            </w14:solidFill>
          </w14:textFill>
        </w:rPr>
      </w:pPr>
      <w:r>
        <w:rPr>
          <w:rFonts w:hint="eastAsia" w:ascii="宋体" w:hAnsi="宋体" w:eastAsia="宋体" w:cs="宋体"/>
          <w:b/>
          <w:bCs/>
          <w:color w:val="000000" w:themeColor="text1"/>
          <w:kern w:val="0"/>
          <w:sz w:val="24"/>
          <w:szCs w:val="24"/>
          <w:lang w:val="en-US" w:eastAsia="zh-CN" w:bidi="ar-SA"/>
          <w14:textFill>
            <w14:solidFill>
              <w14:schemeClr w14:val="tx1"/>
            </w14:solidFill>
          </w14:textFill>
        </w:rPr>
        <w:t>九、报价要求</w:t>
      </w:r>
    </w:p>
    <w:p>
      <w:r>
        <w:rPr>
          <w:rFonts w:hint="eastAsia"/>
        </w:rPr>
        <w:t>报价文件请于2024年</w:t>
      </w:r>
      <w:r>
        <w:rPr>
          <w:rFonts w:hint="eastAsia"/>
          <w:lang w:val="en-US" w:eastAsia="zh-CN"/>
        </w:rPr>
        <w:t>3</w:t>
      </w:r>
      <w:r>
        <w:rPr>
          <w:rFonts w:hint="eastAsia"/>
        </w:rPr>
        <w:t>月</w:t>
      </w:r>
      <w:r>
        <w:rPr>
          <w:rFonts w:hint="eastAsia"/>
          <w:lang w:val="en-US" w:eastAsia="zh-CN"/>
        </w:rPr>
        <w:t>15</w:t>
      </w:r>
      <w:bookmarkStart w:id="0" w:name="_GoBack"/>
      <w:bookmarkEnd w:id="0"/>
      <w:r>
        <w:rPr>
          <w:rFonts w:hint="eastAsia"/>
        </w:rPr>
        <w:t>日中午12：00时前以快递或当面送达的方式递交，凡超出上述时限送达的报价文件均拒绝接受并视为贵单位放弃参与本项目报价。报价统一采用本《询价文件》附件报价函，否则视为无效报价。</w:t>
      </w:r>
    </w:p>
    <w:p>
      <w:r>
        <w:rPr>
          <w:rFonts w:hint="eastAsia"/>
        </w:rPr>
        <w:t>参与本项目询价的供应商不足3家的，则本项目重新开展询价。</w:t>
      </w:r>
    </w:p>
    <w:p>
      <w:r>
        <w:rPr>
          <w:rFonts w:hint="eastAsia"/>
        </w:rPr>
        <w:t>联系人：陈老师</w:t>
      </w:r>
    </w:p>
    <w:p>
      <w:r>
        <w:rPr>
          <w:rFonts w:hint="eastAsia"/>
        </w:rPr>
        <w:t>联系电话：023-63524124</w:t>
      </w:r>
    </w:p>
    <w:p>
      <w:pPr>
        <w:rPr>
          <w:kern w:val="0"/>
        </w:rPr>
      </w:pPr>
      <w:r>
        <w:rPr>
          <w:rFonts w:hint="eastAsia"/>
        </w:rPr>
        <w:t>邮寄地址：重庆市渝中区枇杷山正街72号重庆市文物考古研究院</w:t>
      </w:r>
    </w:p>
    <w:p>
      <w:pPr>
        <w:shd w:val="clear" w:color="auto" w:fill="FFFFFF"/>
        <w:rPr>
          <w:rFonts w:hint="eastAsia" w:ascii="宋体" w:hAnsi="宋体" w:eastAsia="宋体" w:cs="宋体"/>
          <w:b/>
          <w:bCs/>
          <w:color w:val="000000" w:themeColor="text1"/>
          <w:kern w:val="0"/>
          <w:sz w:val="24"/>
          <w:szCs w:val="24"/>
          <w:lang w:val="en-US" w:eastAsia="zh-CN" w:bidi="ar-SA"/>
          <w14:textFill>
            <w14:solidFill>
              <w14:schemeClr w14:val="tx1"/>
            </w14:solidFill>
          </w14:textFill>
        </w:rPr>
      </w:pPr>
      <w:r>
        <w:rPr>
          <w:rFonts w:hint="eastAsia" w:ascii="宋体" w:hAnsi="宋体" w:eastAsia="宋体" w:cs="宋体"/>
          <w:b/>
          <w:bCs/>
          <w:color w:val="000000" w:themeColor="text1"/>
          <w:kern w:val="0"/>
          <w:sz w:val="24"/>
          <w:szCs w:val="24"/>
          <w:lang w:val="en-US" w:eastAsia="zh-CN" w:bidi="ar-SA"/>
          <w14:textFill>
            <w14:solidFill>
              <w14:schemeClr w14:val="tx1"/>
            </w14:solidFill>
          </w14:textFill>
        </w:rPr>
        <w:t>十、其他</w:t>
      </w:r>
    </w:p>
    <w:p>
      <w:r>
        <w:rPr>
          <w:rFonts w:hint="eastAsia"/>
        </w:rPr>
        <w:t>1.供应商向我院递交报价文件视为接受询价文件上述条款，并承诺工作成果必须达到上述条款的要求。</w:t>
      </w:r>
    </w:p>
    <w:p>
      <w:r>
        <w:rPr>
          <w:rFonts w:hint="eastAsia"/>
        </w:rPr>
        <w:t>2.供应商须自行承诺其提供的响应文件中所有证明材料真实有效，不存在弄虚作假情形。</w:t>
      </w:r>
    </w:p>
    <w:p>
      <w:r>
        <w:rPr>
          <w:rFonts w:hint="eastAsia"/>
        </w:rPr>
        <w:t>3.我院在采购合同签订前均有权对供应商提供的报价文件中所有内容进行核实，若发现弄虚作假，取消其成交资格，并按相关法律法规报上级主管部门或重庆市财政局监督部门处理，并承担因此造成的相关责任并赔偿相应损失。</w:t>
      </w:r>
    </w:p>
    <w:p>
      <w:r>
        <w:rPr>
          <w:rFonts w:hint="eastAsia"/>
        </w:rPr>
        <w:t>4.在采购合同签订后发现供应商提供的报价文件存在弄虚作假情形，有权立即解除合同，有权不退还其履约保证金（如有），并按相关法律法规报上级主管部门或重庆市财政局监督部门处理，并承担因此造成的相关责任并赔偿相应损失。</w:t>
      </w:r>
    </w:p>
    <w:p>
      <w:r>
        <w:rPr>
          <w:rFonts w:hint="eastAsia"/>
        </w:rPr>
        <w:t>5.凡有意参加询价的供应商，请于公告发布之日起至报名截止时间之前，在重庆市文物考古研究院官网（www.cqkaogu.com）上下载查看本项目询价文件以及变更公告等询价前公布的所有项目资料，无论供应商下载查看与否，均视为已知晓所有询价实质性要求内容。</w:t>
      </w:r>
    </w:p>
    <w:p>
      <w:r>
        <w:rPr>
          <w:rFonts w:hint="eastAsia"/>
        </w:rPr>
        <w:t>6.单位负责人为同一人或者存在直接控股、管理关系的不同供应商，不得同时参与此次询价。</w:t>
      </w:r>
    </w:p>
    <w:p>
      <w:r>
        <w:rPr>
          <w:rFonts w:hint="eastAsia"/>
        </w:rPr>
        <w:t>7.本项目不接受联合体参与评审。</w:t>
      </w:r>
    </w:p>
    <w:p>
      <w:r>
        <w:rPr>
          <w:rFonts w:hint="eastAsia"/>
        </w:rPr>
        <w:t>8.不允许分包、转包。</w:t>
      </w:r>
    </w:p>
    <w:p>
      <w:r>
        <w:rPr>
          <w:rFonts w:hint="eastAsia"/>
        </w:rPr>
        <w:t>9.按照《财政部关于在政府采购活动中查询及使用信用记录有关问题的通知》财库〔2016〕125号，供应商列入失信被执行人、重大税收违法案件当事人名单、政府采购严重违法失信行为记录名单及其他不符合《中华人民共和国政府采购法》第二十二条规定条件的供应商，将拒绝其参与本院询价。</w:t>
      </w:r>
    </w:p>
    <w:p>
      <w:r>
        <w:rPr>
          <w:rFonts w:hint="eastAsia"/>
        </w:rPr>
        <w:t>10.其他未尽事宜由供需双方在采购合同中详细约定。</w:t>
      </w:r>
    </w:p>
    <w:p/>
    <w:p>
      <w:pPr>
        <w:pStyle w:val="13"/>
        <w:rPr>
          <w:color w:val="auto"/>
        </w:rPr>
      </w:pPr>
    </w:p>
    <w:p>
      <w:pPr>
        <w:pStyle w:val="13"/>
        <w:ind w:firstLine="0" w:firstLineChars="0"/>
        <w:rPr>
          <w:color w:val="auto"/>
        </w:rPr>
      </w:pPr>
    </w:p>
    <w:p>
      <w:pPr>
        <w:pStyle w:val="13"/>
        <w:ind w:firstLine="0" w:firstLineChars="0"/>
        <w:rPr>
          <w:color w:val="auto"/>
        </w:rPr>
      </w:pPr>
    </w:p>
    <w:p>
      <w:pPr>
        <w:pStyle w:val="13"/>
        <w:ind w:firstLine="0" w:firstLineChars="0"/>
        <w:rPr>
          <w:color w:val="auto"/>
        </w:rPr>
      </w:pPr>
    </w:p>
    <w:p>
      <w:pPr>
        <w:pStyle w:val="13"/>
        <w:ind w:firstLine="0" w:firstLineChars="0"/>
        <w:rPr>
          <w:color w:val="auto"/>
        </w:rPr>
      </w:pPr>
    </w:p>
    <w:p>
      <w:pPr>
        <w:pStyle w:val="13"/>
        <w:ind w:firstLine="0" w:firstLineChars="0"/>
        <w:rPr>
          <w:color w:val="auto"/>
        </w:rPr>
      </w:pPr>
    </w:p>
    <w:p>
      <w:pPr>
        <w:pStyle w:val="13"/>
        <w:ind w:firstLine="0" w:firstLineChars="0"/>
        <w:rPr>
          <w:color w:val="auto"/>
        </w:rPr>
      </w:pPr>
    </w:p>
    <w:p>
      <w:pPr>
        <w:pStyle w:val="13"/>
        <w:ind w:firstLine="0" w:firstLineChars="0"/>
        <w:rPr>
          <w:color w:val="auto"/>
        </w:rPr>
      </w:pPr>
    </w:p>
    <w:p>
      <w:pPr>
        <w:pStyle w:val="13"/>
        <w:ind w:firstLine="0" w:firstLineChars="0"/>
        <w:rPr>
          <w:color w:val="auto"/>
        </w:rPr>
      </w:pPr>
    </w:p>
    <w:p>
      <w:pPr>
        <w:pStyle w:val="13"/>
        <w:ind w:firstLine="0" w:firstLineChars="0"/>
        <w:rPr>
          <w:color w:val="auto"/>
        </w:rPr>
      </w:pPr>
    </w:p>
    <w:p>
      <w:pPr>
        <w:pStyle w:val="13"/>
        <w:ind w:firstLine="0" w:firstLineChars="0"/>
        <w:rPr>
          <w:color w:val="auto"/>
        </w:rPr>
      </w:pPr>
    </w:p>
    <w:p>
      <w:pPr>
        <w:pStyle w:val="13"/>
        <w:ind w:firstLine="0" w:firstLineChars="0"/>
        <w:rPr>
          <w:color w:val="auto"/>
        </w:rPr>
      </w:pPr>
    </w:p>
    <w:p>
      <w:pPr>
        <w:pStyle w:val="13"/>
        <w:ind w:firstLine="0" w:firstLineChars="0"/>
        <w:rPr>
          <w:color w:val="auto"/>
        </w:rPr>
      </w:pPr>
    </w:p>
    <w:p>
      <w:pPr>
        <w:pStyle w:val="13"/>
        <w:ind w:firstLine="0" w:firstLineChars="0"/>
        <w:rPr>
          <w:color w:val="auto"/>
        </w:rPr>
      </w:pPr>
    </w:p>
    <w:p>
      <w:pPr>
        <w:pStyle w:val="13"/>
        <w:ind w:firstLine="0" w:firstLineChars="0"/>
        <w:rPr>
          <w:color w:val="auto"/>
        </w:rPr>
      </w:pPr>
    </w:p>
    <w:p>
      <w:pPr>
        <w:pStyle w:val="13"/>
        <w:ind w:firstLine="0" w:firstLineChars="0"/>
        <w:rPr>
          <w:color w:val="auto"/>
        </w:rPr>
      </w:pPr>
    </w:p>
    <w:p>
      <w:pPr>
        <w:pStyle w:val="13"/>
        <w:ind w:firstLine="0" w:firstLineChars="0"/>
        <w:rPr>
          <w:color w:val="auto"/>
        </w:rPr>
      </w:pPr>
    </w:p>
    <w:p>
      <w:pPr>
        <w:pStyle w:val="13"/>
        <w:ind w:firstLine="0" w:firstLineChars="0"/>
        <w:rPr>
          <w:color w:val="auto"/>
        </w:rPr>
      </w:pPr>
    </w:p>
    <w:p>
      <w:pPr>
        <w:pStyle w:val="13"/>
        <w:ind w:firstLine="0" w:firstLineChars="0"/>
        <w:rPr>
          <w:color w:val="auto"/>
        </w:rPr>
      </w:pPr>
    </w:p>
    <w:p>
      <w:pPr>
        <w:pStyle w:val="13"/>
        <w:ind w:firstLine="0" w:firstLineChars="0"/>
        <w:rPr>
          <w:color w:val="auto"/>
        </w:rPr>
      </w:pPr>
    </w:p>
    <w:p>
      <w:pPr>
        <w:pStyle w:val="13"/>
        <w:ind w:firstLine="0" w:firstLineChars="0"/>
        <w:rPr>
          <w:color w:val="auto"/>
        </w:rPr>
      </w:pPr>
    </w:p>
    <w:p>
      <w:pPr>
        <w:pStyle w:val="13"/>
        <w:ind w:firstLine="0" w:firstLineChars="0"/>
        <w:rPr>
          <w:color w:val="auto"/>
        </w:rPr>
      </w:pPr>
    </w:p>
    <w:p>
      <w:r>
        <w:rPr>
          <w:rFonts w:hint="eastAsia"/>
        </w:rPr>
        <w:t>附件</w:t>
      </w:r>
    </w:p>
    <w:p>
      <w:pPr>
        <w:pStyle w:val="9"/>
      </w:pPr>
    </w:p>
    <w:p>
      <w:pPr>
        <w:spacing w:line="400" w:lineRule="exact"/>
        <w:rPr>
          <w:rFonts w:ascii="宋体" w:hAnsi="宋体" w:cs="宋体"/>
          <w:b/>
          <w:bCs/>
          <w:sz w:val="24"/>
          <w:szCs w:val="24"/>
        </w:rPr>
      </w:pPr>
    </w:p>
    <w:p>
      <w:pPr>
        <w:spacing w:line="400" w:lineRule="exact"/>
        <w:ind w:firstLine="482" w:firstLineChars="200"/>
        <w:rPr>
          <w:rFonts w:ascii="宋体" w:hAnsi="宋体" w:cs="宋体"/>
          <w:b/>
          <w:bCs/>
          <w:sz w:val="24"/>
          <w:szCs w:val="24"/>
        </w:rPr>
      </w:pPr>
    </w:p>
    <w:p>
      <w:pPr>
        <w:tabs>
          <w:tab w:val="left" w:pos="6300"/>
        </w:tabs>
        <w:snapToGrid w:val="0"/>
        <w:spacing w:line="360" w:lineRule="auto"/>
        <w:jc w:val="center"/>
        <w:rPr>
          <w:rFonts w:ascii="宋体" w:hAnsi="宋体" w:cs="宋体"/>
          <w:b/>
          <w:szCs w:val="28"/>
        </w:rPr>
      </w:pPr>
      <w:r>
        <w:rPr>
          <w:rFonts w:hint="eastAsia" w:ascii="宋体" w:hAnsi="宋体" w:cs="宋体"/>
          <w:b/>
          <w:szCs w:val="28"/>
        </w:rPr>
        <w:t>报价函</w:t>
      </w:r>
    </w:p>
    <w:p>
      <w:pPr>
        <w:tabs>
          <w:tab w:val="left" w:pos="6300"/>
        </w:tabs>
        <w:snapToGrid w:val="0"/>
        <w:spacing w:line="360" w:lineRule="auto"/>
        <w:rPr>
          <w:rFonts w:ascii="宋体" w:hAnsi="宋体" w:cs="宋体"/>
          <w:sz w:val="24"/>
          <w:szCs w:val="24"/>
        </w:rPr>
      </w:pPr>
      <w:r>
        <w:rPr>
          <w:rFonts w:hint="eastAsia" w:ascii="宋体" w:hAnsi="宋体" w:cs="宋体"/>
          <w:sz w:val="24"/>
          <w:szCs w:val="24"/>
          <w:u w:val="single"/>
        </w:rPr>
        <w:t>（采购人名称）</w:t>
      </w:r>
      <w:r>
        <w:rPr>
          <w:rFonts w:hint="eastAsia" w:ascii="宋体" w:hAnsi="宋体" w:cs="宋体"/>
          <w:sz w:val="24"/>
          <w:szCs w:val="24"/>
        </w:rPr>
        <w:t>：</w:t>
      </w:r>
    </w:p>
    <w:p>
      <w:pPr>
        <w:tabs>
          <w:tab w:val="left" w:pos="6300"/>
        </w:tabs>
        <w:snapToGrid w:val="0"/>
        <w:spacing w:line="360" w:lineRule="auto"/>
        <w:ind w:firstLine="480" w:firstLineChars="200"/>
        <w:rPr>
          <w:rFonts w:ascii="宋体" w:hAnsi="宋体" w:cs="宋体"/>
          <w:sz w:val="24"/>
          <w:szCs w:val="24"/>
        </w:rPr>
      </w:pPr>
      <w:r>
        <w:rPr>
          <w:rFonts w:hint="eastAsia" w:ascii="宋体" w:hAnsi="宋体" w:cs="宋体"/>
          <w:sz w:val="24"/>
          <w:szCs w:val="24"/>
        </w:rPr>
        <w:t>我方收到（询价项目名称）的询价文件，经详细研究，决定参加该询价项目的报价。</w:t>
      </w:r>
    </w:p>
    <w:p>
      <w:pPr>
        <w:tabs>
          <w:tab w:val="left" w:pos="6300"/>
        </w:tabs>
        <w:snapToGrid w:val="0"/>
        <w:spacing w:line="360" w:lineRule="auto"/>
        <w:ind w:left="444" w:leftChars="85" w:hanging="240" w:hangingChars="100"/>
        <w:rPr>
          <w:rFonts w:ascii="宋体" w:hAnsi="宋体" w:cs="宋体"/>
          <w:sz w:val="24"/>
          <w:szCs w:val="24"/>
        </w:rPr>
      </w:pPr>
      <w:r>
        <w:rPr>
          <w:rFonts w:hint="eastAsia" w:ascii="宋体" w:hAnsi="宋体" w:cs="宋体"/>
          <w:sz w:val="24"/>
          <w:szCs w:val="24"/>
        </w:rPr>
        <w:t>1.愿意按照询价文件中的一切要求，提供本项目的服务，最终报价为人民币</w:t>
      </w:r>
      <w:r>
        <w:rPr>
          <w:rFonts w:hint="eastAsia" w:ascii="宋体" w:hAnsi="宋体" w:cs="宋体"/>
          <w:sz w:val="24"/>
          <w:szCs w:val="24"/>
          <w:u w:val="single"/>
        </w:rPr>
        <w:t>元  ，大写：  整</w:t>
      </w:r>
      <w:r>
        <w:rPr>
          <w:rFonts w:hint="eastAsia" w:ascii="宋体" w:hAnsi="宋体" w:cs="宋体"/>
          <w:sz w:val="24"/>
          <w:szCs w:val="24"/>
        </w:rPr>
        <w:t>。</w:t>
      </w:r>
    </w:p>
    <w:p>
      <w:pPr>
        <w:tabs>
          <w:tab w:val="left" w:pos="6300"/>
        </w:tabs>
        <w:snapToGrid w:val="0"/>
        <w:spacing w:line="360" w:lineRule="auto"/>
        <w:ind w:firstLine="240" w:firstLineChars="100"/>
        <w:rPr>
          <w:rFonts w:ascii="宋体" w:hAnsi="宋体" w:cs="宋体"/>
          <w:sz w:val="24"/>
          <w:szCs w:val="24"/>
        </w:rPr>
      </w:pPr>
      <w:r>
        <w:rPr>
          <w:rFonts w:hint="eastAsia" w:ascii="宋体" w:hAnsi="宋体" w:cs="宋体"/>
          <w:sz w:val="24"/>
          <w:szCs w:val="24"/>
        </w:rPr>
        <w:t>2.我方完全理解和接受贵方询价文件的一切规定和要求及评审办法。</w:t>
      </w:r>
    </w:p>
    <w:p>
      <w:pPr>
        <w:pStyle w:val="9"/>
        <w:ind w:firstLine="240" w:firstLineChars="100"/>
        <w:rPr>
          <w:rFonts w:eastAsia="宋体"/>
        </w:rPr>
      </w:pPr>
      <w:r>
        <w:rPr>
          <w:rFonts w:hint="eastAsia" w:eastAsia="宋体" w:cs="宋体"/>
          <w:szCs w:val="24"/>
        </w:rPr>
        <w:t>3.我方承诺完全符合本《询价文件》供应商资格要求及其他要求，并</w:t>
      </w:r>
      <w:r>
        <w:rPr>
          <w:rFonts w:hint="eastAsia" w:eastAsia="宋体" w:cs="宋体"/>
        </w:rPr>
        <w:t>对本报价函承诺负全部法律责任。</w:t>
      </w:r>
    </w:p>
    <w:p>
      <w:pPr>
        <w:tabs>
          <w:tab w:val="left" w:pos="6300"/>
        </w:tabs>
        <w:snapToGrid w:val="0"/>
        <w:spacing w:line="360" w:lineRule="auto"/>
        <w:ind w:firstLine="240" w:firstLineChars="100"/>
        <w:rPr>
          <w:rFonts w:ascii="宋体" w:hAnsi="宋体" w:cs="宋体"/>
          <w:sz w:val="24"/>
          <w:szCs w:val="24"/>
        </w:rPr>
      </w:pPr>
      <w:r>
        <w:rPr>
          <w:rFonts w:hint="eastAsia" w:ascii="宋体" w:hAnsi="宋体" w:cs="宋体"/>
          <w:sz w:val="24"/>
          <w:szCs w:val="24"/>
        </w:rPr>
        <w:t>4.在整个询价过程中，我方若有违规行为，接受按照《中华人民共和国政府采购法》和《询价文件》之规定给予惩罚。</w:t>
      </w:r>
    </w:p>
    <w:p>
      <w:pPr>
        <w:tabs>
          <w:tab w:val="left" w:pos="6300"/>
        </w:tabs>
        <w:snapToGrid w:val="0"/>
        <w:spacing w:line="360" w:lineRule="auto"/>
        <w:ind w:firstLine="240" w:firstLineChars="100"/>
        <w:rPr>
          <w:rFonts w:ascii="宋体" w:hAnsi="宋体" w:cs="宋体"/>
          <w:sz w:val="24"/>
          <w:szCs w:val="24"/>
        </w:rPr>
      </w:pPr>
      <w:r>
        <w:rPr>
          <w:rFonts w:hint="eastAsia" w:ascii="宋体" w:hAnsi="宋体" w:cs="宋体"/>
          <w:sz w:val="24"/>
          <w:szCs w:val="24"/>
        </w:rPr>
        <w:t>5.我方若成为成交供应商，将按照报价结果签订合同，并且严格履行合同义务。本报价函将成为合同不可分割的一部分，与合同具有同等的法律效力。</w:t>
      </w:r>
    </w:p>
    <w:p>
      <w:pPr>
        <w:tabs>
          <w:tab w:val="left" w:pos="6300"/>
        </w:tabs>
        <w:snapToGrid w:val="0"/>
        <w:spacing w:line="360" w:lineRule="auto"/>
        <w:ind w:firstLine="240" w:firstLineChars="100"/>
        <w:rPr>
          <w:rFonts w:ascii="宋体" w:hAnsi="宋体" w:cs="宋体"/>
          <w:sz w:val="24"/>
          <w:szCs w:val="24"/>
        </w:rPr>
      </w:pPr>
    </w:p>
    <w:p>
      <w:pPr>
        <w:tabs>
          <w:tab w:val="left" w:pos="6300"/>
        </w:tabs>
        <w:snapToGrid w:val="0"/>
        <w:spacing w:line="360" w:lineRule="auto"/>
        <w:ind w:firstLine="570"/>
        <w:rPr>
          <w:rFonts w:ascii="宋体" w:hAnsi="宋体" w:cs="宋体"/>
          <w:sz w:val="24"/>
          <w:szCs w:val="24"/>
        </w:rPr>
      </w:pPr>
    </w:p>
    <w:p>
      <w:pPr>
        <w:tabs>
          <w:tab w:val="left" w:pos="6300"/>
        </w:tabs>
        <w:snapToGrid w:val="0"/>
        <w:spacing w:line="360" w:lineRule="auto"/>
        <w:ind w:firstLine="570"/>
        <w:rPr>
          <w:rFonts w:ascii="宋体" w:hAnsi="宋体" w:cs="宋体"/>
          <w:sz w:val="24"/>
          <w:szCs w:val="24"/>
        </w:rPr>
      </w:pPr>
      <w:r>
        <w:rPr>
          <w:rFonts w:hint="eastAsia" w:ascii="宋体" w:hAnsi="宋体" w:cs="宋体"/>
          <w:sz w:val="24"/>
          <w:szCs w:val="24"/>
        </w:rPr>
        <w:t>供应商（公章）签署：</w:t>
      </w:r>
    </w:p>
    <w:p>
      <w:pPr>
        <w:pStyle w:val="9"/>
        <w:ind w:firstLine="480" w:firstLineChars="200"/>
        <w:rPr>
          <w:rFonts w:eastAsia="宋体"/>
        </w:rPr>
      </w:pPr>
      <w:r>
        <w:rPr>
          <w:rFonts w:hint="eastAsia" w:eastAsia="宋体" w:cs="宋体"/>
          <w:szCs w:val="24"/>
        </w:rPr>
        <w:t>法定代表人（签字）：</w:t>
      </w:r>
    </w:p>
    <w:p>
      <w:pPr>
        <w:tabs>
          <w:tab w:val="left" w:pos="6300"/>
        </w:tabs>
        <w:snapToGrid w:val="0"/>
        <w:spacing w:line="360" w:lineRule="auto"/>
        <w:ind w:firstLine="570"/>
        <w:rPr>
          <w:rFonts w:ascii="宋体" w:hAnsi="宋体" w:cs="宋体"/>
          <w:sz w:val="24"/>
          <w:szCs w:val="24"/>
        </w:rPr>
      </w:pPr>
      <w:r>
        <w:rPr>
          <w:rFonts w:hint="eastAsia" w:ascii="宋体" w:hAnsi="宋体" w:cs="宋体"/>
          <w:sz w:val="24"/>
          <w:szCs w:val="24"/>
        </w:rPr>
        <w:t xml:space="preserve">地址：  </w:t>
      </w:r>
    </w:p>
    <w:p>
      <w:pPr>
        <w:tabs>
          <w:tab w:val="left" w:pos="6300"/>
        </w:tabs>
        <w:snapToGrid w:val="0"/>
        <w:spacing w:line="360" w:lineRule="auto"/>
        <w:ind w:firstLine="570"/>
        <w:rPr>
          <w:rFonts w:ascii="宋体" w:hAnsi="宋体" w:cs="宋体"/>
          <w:sz w:val="24"/>
          <w:szCs w:val="24"/>
        </w:rPr>
      </w:pPr>
      <w:r>
        <w:rPr>
          <w:rFonts w:hint="eastAsia" w:ascii="宋体" w:hAnsi="宋体" w:cs="宋体"/>
          <w:sz w:val="24"/>
          <w:szCs w:val="24"/>
        </w:rPr>
        <w:t>电话：                           传真：</w:t>
      </w:r>
    </w:p>
    <w:p>
      <w:pPr>
        <w:tabs>
          <w:tab w:val="left" w:pos="6300"/>
        </w:tabs>
        <w:snapToGrid w:val="0"/>
        <w:spacing w:line="360" w:lineRule="auto"/>
        <w:ind w:firstLine="570"/>
        <w:rPr>
          <w:rFonts w:ascii="宋体" w:hAnsi="宋体" w:cs="宋体"/>
          <w:sz w:val="24"/>
          <w:szCs w:val="24"/>
        </w:rPr>
      </w:pPr>
      <w:r>
        <w:rPr>
          <w:rFonts w:hint="eastAsia" w:ascii="宋体" w:hAnsi="宋体" w:cs="宋体"/>
          <w:sz w:val="24"/>
          <w:szCs w:val="24"/>
        </w:rPr>
        <w:t>网址：                           邮编：</w:t>
      </w:r>
    </w:p>
    <w:p>
      <w:pPr>
        <w:tabs>
          <w:tab w:val="left" w:pos="6300"/>
        </w:tabs>
        <w:snapToGrid w:val="0"/>
        <w:spacing w:line="360" w:lineRule="auto"/>
        <w:ind w:firstLine="570"/>
        <w:rPr>
          <w:rFonts w:ascii="宋体" w:hAnsi="宋体" w:cs="宋体"/>
          <w:sz w:val="24"/>
          <w:szCs w:val="24"/>
        </w:rPr>
      </w:pPr>
      <w:r>
        <w:rPr>
          <w:rFonts w:hint="eastAsia" w:ascii="宋体" w:hAnsi="宋体" w:cs="宋体"/>
          <w:sz w:val="24"/>
          <w:szCs w:val="24"/>
        </w:rPr>
        <w:t>联系人：</w:t>
      </w:r>
    </w:p>
    <w:p>
      <w:pPr>
        <w:snapToGrid w:val="0"/>
        <w:spacing w:line="360" w:lineRule="auto"/>
        <w:ind w:firstLine="480" w:firstLineChars="200"/>
        <w:rPr>
          <w:rFonts w:ascii="宋体" w:hAnsi="宋体" w:cs="宋体"/>
          <w:sz w:val="24"/>
          <w:szCs w:val="24"/>
        </w:rPr>
      </w:pPr>
      <w:r>
        <w:rPr>
          <w:rFonts w:hint="eastAsia" w:ascii="宋体" w:hAnsi="宋体" w:cs="宋体"/>
          <w:sz w:val="24"/>
          <w:szCs w:val="24"/>
        </w:rPr>
        <w:t xml:space="preserve">                               年   月   日</w:t>
      </w:r>
    </w:p>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 w:name="仿宋_GB2312">
    <w:panose1 w:val="02010609030101010101"/>
    <w:charset w:val="86"/>
    <w:family w:val="modern"/>
    <w:pitch w:val="default"/>
    <w:sig w:usb0="00000001" w:usb1="080E0000" w:usb2="00000000" w:usb3="00000000" w:csb0="00040000" w:csb1="00000000"/>
  </w:font>
  <w:font w:name="Courier New">
    <w:panose1 w:val="02070309020205020404"/>
    <w:charset w:val="00"/>
    <w:family w:val="modern"/>
    <w:pitch w:val="default"/>
    <w:sig w:usb0="E0002EFF" w:usb1="C0007843" w:usb2="00000009" w:usb3="00000000" w:csb0="400001FF" w:csb1="FFFF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480"/>
      </w:pPr>
      <w:r>
        <w:separator/>
      </w:r>
    </w:p>
  </w:footnote>
  <w:footnote w:type="continuationSeparator" w:id="1">
    <w:p>
      <w:pPr>
        <w:spacing w:line="240" w:lineRule="auto"/>
        <w:ind w:firstLine="48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B4B31DE"/>
    <w:multiLevelType w:val="multilevel"/>
    <w:tmpl w:val="7B4B31DE"/>
    <w:lvl w:ilvl="0" w:tentative="0">
      <w:start w:val="1"/>
      <w:numFmt w:val="japaneseCounting"/>
      <w:lvlText w:val="%1、"/>
      <w:lvlJc w:val="left"/>
      <w:pPr>
        <w:ind w:left="1202" w:hanging="720"/>
      </w:pPr>
      <w:rPr>
        <w:rFonts w:hint="default"/>
      </w:rPr>
    </w:lvl>
    <w:lvl w:ilvl="1" w:tentative="0">
      <w:start w:val="1"/>
      <w:numFmt w:val="lowerLetter"/>
      <w:lvlText w:val="%2)"/>
      <w:lvlJc w:val="left"/>
      <w:pPr>
        <w:ind w:left="1322" w:hanging="420"/>
      </w:pPr>
    </w:lvl>
    <w:lvl w:ilvl="2" w:tentative="0">
      <w:start w:val="1"/>
      <w:numFmt w:val="lowerRoman"/>
      <w:lvlText w:val="%3."/>
      <w:lvlJc w:val="right"/>
      <w:pPr>
        <w:ind w:left="1742" w:hanging="420"/>
      </w:pPr>
    </w:lvl>
    <w:lvl w:ilvl="3" w:tentative="0">
      <w:start w:val="1"/>
      <w:numFmt w:val="decimal"/>
      <w:lvlText w:val="%4."/>
      <w:lvlJc w:val="left"/>
      <w:pPr>
        <w:ind w:left="2162" w:hanging="420"/>
      </w:pPr>
    </w:lvl>
    <w:lvl w:ilvl="4" w:tentative="0">
      <w:start w:val="1"/>
      <w:numFmt w:val="lowerLetter"/>
      <w:lvlText w:val="%5)"/>
      <w:lvlJc w:val="left"/>
      <w:pPr>
        <w:ind w:left="2582" w:hanging="420"/>
      </w:pPr>
    </w:lvl>
    <w:lvl w:ilvl="5" w:tentative="0">
      <w:start w:val="1"/>
      <w:numFmt w:val="lowerRoman"/>
      <w:lvlText w:val="%6."/>
      <w:lvlJc w:val="right"/>
      <w:pPr>
        <w:ind w:left="3002" w:hanging="420"/>
      </w:pPr>
    </w:lvl>
    <w:lvl w:ilvl="6" w:tentative="0">
      <w:start w:val="1"/>
      <w:numFmt w:val="decimal"/>
      <w:lvlText w:val="%7."/>
      <w:lvlJc w:val="left"/>
      <w:pPr>
        <w:ind w:left="3422" w:hanging="420"/>
      </w:pPr>
    </w:lvl>
    <w:lvl w:ilvl="7" w:tentative="0">
      <w:start w:val="1"/>
      <w:numFmt w:val="lowerLetter"/>
      <w:lvlText w:val="%8)"/>
      <w:lvlJc w:val="left"/>
      <w:pPr>
        <w:ind w:left="3842" w:hanging="420"/>
      </w:pPr>
    </w:lvl>
    <w:lvl w:ilvl="8" w:tentative="0">
      <w:start w:val="1"/>
      <w:numFmt w:val="lowerRoman"/>
      <w:lvlText w:val="%9."/>
      <w:lvlJc w:val="right"/>
      <w:pPr>
        <w:ind w:left="4262"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3"/>
  <w:doNotDisplayPageBoundaries w:val="1"/>
  <w:embedSystemFonts/>
  <w:bordersDoNotSurroundHeader w:val="1"/>
  <w:bordersDoNotSurroundFooter w:val="1"/>
  <w:documentProtection w:enforcement="0"/>
  <w:defaultTabStop w:val="420"/>
  <w:drawingGridVerticalSpacing w:val="156"/>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DVjNWI3NDVkMWFmZDEwZDc1ZmM4MzZlZTgwMTQ0NTkifQ=="/>
  </w:docVars>
  <w:rsids>
    <w:rsidRoot w:val="59E049F9"/>
    <w:rsid w:val="000745A8"/>
    <w:rsid w:val="0017384A"/>
    <w:rsid w:val="001B364E"/>
    <w:rsid w:val="001D10D5"/>
    <w:rsid w:val="001F1053"/>
    <w:rsid w:val="00246061"/>
    <w:rsid w:val="00261861"/>
    <w:rsid w:val="002C64E4"/>
    <w:rsid w:val="00342047"/>
    <w:rsid w:val="003548C5"/>
    <w:rsid w:val="0036487C"/>
    <w:rsid w:val="00367CE0"/>
    <w:rsid w:val="00404D54"/>
    <w:rsid w:val="004A3312"/>
    <w:rsid w:val="00596FB9"/>
    <w:rsid w:val="005F4816"/>
    <w:rsid w:val="006861B0"/>
    <w:rsid w:val="0073688F"/>
    <w:rsid w:val="007369A0"/>
    <w:rsid w:val="007727FF"/>
    <w:rsid w:val="00786BF5"/>
    <w:rsid w:val="007C7BC8"/>
    <w:rsid w:val="008908E3"/>
    <w:rsid w:val="00921E3A"/>
    <w:rsid w:val="00A87144"/>
    <w:rsid w:val="00AE3302"/>
    <w:rsid w:val="00B26787"/>
    <w:rsid w:val="00C11603"/>
    <w:rsid w:val="00D115E7"/>
    <w:rsid w:val="00D119D7"/>
    <w:rsid w:val="00D32689"/>
    <w:rsid w:val="00D70EC2"/>
    <w:rsid w:val="00DA54CF"/>
    <w:rsid w:val="00DA5DAF"/>
    <w:rsid w:val="00E57DE3"/>
    <w:rsid w:val="00E81B0A"/>
    <w:rsid w:val="00F0487F"/>
    <w:rsid w:val="00F21086"/>
    <w:rsid w:val="00F4063A"/>
    <w:rsid w:val="00F46C9A"/>
    <w:rsid w:val="058B3D03"/>
    <w:rsid w:val="09084D47"/>
    <w:rsid w:val="0ACD1B3D"/>
    <w:rsid w:val="0ADD3FAE"/>
    <w:rsid w:val="0CDD2D53"/>
    <w:rsid w:val="10E540B1"/>
    <w:rsid w:val="181B0BD3"/>
    <w:rsid w:val="25981347"/>
    <w:rsid w:val="27321A96"/>
    <w:rsid w:val="2BBF5B57"/>
    <w:rsid w:val="2C482A44"/>
    <w:rsid w:val="2C964A81"/>
    <w:rsid w:val="2EC211EA"/>
    <w:rsid w:val="347F2794"/>
    <w:rsid w:val="34A62CC8"/>
    <w:rsid w:val="3AA06FEA"/>
    <w:rsid w:val="3AE05CBA"/>
    <w:rsid w:val="44A742AF"/>
    <w:rsid w:val="4763768D"/>
    <w:rsid w:val="4E7D5950"/>
    <w:rsid w:val="4FA76912"/>
    <w:rsid w:val="51D5531F"/>
    <w:rsid w:val="52901701"/>
    <w:rsid w:val="54FC26B7"/>
    <w:rsid w:val="553D1193"/>
    <w:rsid w:val="59E049F9"/>
    <w:rsid w:val="59ED08EF"/>
    <w:rsid w:val="5EC53368"/>
    <w:rsid w:val="61F061FA"/>
    <w:rsid w:val="63A07F6E"/>
    <w:rsid w:val="71272553"/>
    <w:rsid w:val="79EC7DDC"/>
    <w:rsid w:val="7EAC2B5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shd w:val="clear" w:color="auto" w:fill="FFFFFF"/>
      <w:spacing w:line="500" w:lineRule="exact"/>
      <w:ind w:firstLine="480" w:firstLineChars="200"/>
      <w:jc w:val="both"/>
    </w:pPr>
    <w:rPr>
      <w:rFonts w:ascii="Times New Roman" w:hAnsi="Times New Roman" w:eastAsia="宋体" w:cs="Times New Roman"/>
      <w:color w:val="000000" w:themeColor="text1"/>
      <w:kern w:val="2"/>
      <w:sz w:val="24"/>
      <w:szCs w:val="24"/>
      <w:lang w:val="en-US" w:eastAsia="zh-CN" w:bidi="ar-SA"/>
      <w14:textFill>
        <w14:solidFill>
          <w14:schemeClr w14:val="tx1"/>
        </w14:solidFill>
      </w14:textFill>
    </w:rPr>
  </w:style>
  <w:style w:type="paragraph" w:styleId="2">
    <w:name w:val="heading 2"/>
    <w:basedOn w:val="1"/>
    <w:next w:val="1"/>
    <w:autoRedefine/>
    <w:qFormat/>
    <w:uiPriority w:val="0"/>
    <w:pPr>
      <w:keepNext/>
      <w:keepLines/>
      <w:spacing w:line="413" w:lineRule="auto"/>
      <w:outlineLvl w:val="1"/>
    </w:pPr>
    <w:rPr>
      <w:rFonts w:ascii="Arial" w:hAnsi="Arial" w:eastAsia="黑体"/>
      <w:b/>
      <w:sz w:val="32"/>
    </w:rPr>
  </w:style>
  <w:style w:type="paragraph" w:styleId="3">
    <w:name w:val="heading 3"/>
    <w:basedOn w:val="1"/>
    <w:next w:val="1"/>
    <w:autoRedefine/>
    <w:qFormat/>
    <w:uiPriority w:val="0"/>
    <w:pPr>
      <w:keepNext/>
      <w:keepLines/>
      <w:spacing w:line="413" w:lineRule="auto"/>
      <w:jc w:val="center"/>
      <w:outlineLvl w:val="2"/>
    </w:pPr>
    <w:rPr>
      <w:b/>
      <w:sz w:val="44"/>
    </w:rPr>
  </w:style>
  <w:style w:type="character" w:default="1" w:styleId="12">
    <w:name w:val="Default Paragraph Font"/>
    <w:autoRedefine/>
    <w:semiHidden/>
    <w:unhideWhenUsed/>
    <w:uiPriority w:val="1"/>
  </w:style>
  <w:style w:type="table" w:default="1" w:styleId="11">
    <w:name w:val="Normal Table"/>
    <w:autoRedefine/>
    <w:semiHidden/>
    <w:unhideWhenUsed/>
    <w:qFormat/>
    <w:uiPriority w:val="99"/>
    <w:tblPr>
      <w:tblCellMar>
        <w:top w:w="0" w:type="dxa"/>
        <w:left w:w="108" w:type="dxa"/>
        <w:bottom w:w="0" w:type="dxa"/>
        <w:right w:w="108" w:type="dxa"/>
      </w:tblCellMar>
    </w:tblPr>
  </w:style>
  <w:style w:type="paragraph" w:styleId="4">
    <w:name w:val="Body Text"/>
    <w:basedOn w:val="1"/>
    <w:next w:val="5"/>
    <w:autoRedefine/>
    <w:qFormat/>
    <w:uiPriority w:val="0"/>
    <w:rPr>
      <w:rFonts w:ascii="仿宋_GB2312" w:eastAsia="仿宋_GB2312"/>
      <w:sz w:val="32"/>
    </w:rPr>
  </w:style>
  <w:style w:type="paragraph" w:styleId="5">
    <w:name w:val="Plain Text"/>
    <w:basedOn w:val="1"/>
    <w:autoRedefine/>
    <w:qFormat/>
    <w:uiPriority w:val="0"/>
    <w:rPr>
      <w:rFonts w:ascii="宋体" w:hAnsi="Courier New"/>
      <w:sz w:val="21"/>
    </w:rPr>
  </w:style>
  <w:style w:type="paragraph" w:styleId="6">
    <w:name w:val="Body Text Indent 2"/>
    <w:basedOn w:val="1"/>
    <w:autoRedefine/>
    <w:qFormat/>
    <w:uiPriority w:val="0"/>
    <w:pPr>
      <w:snapToGrid w:val="0"/>
      <w:spacing w:line="560" w:lineRule="atLeast"/>
      <w:ind w:firstLine="540"/>
    </w:pPr>
  </w:style>
  <w:style w:type="paragraph" w:styleId="7">
    <w:name w:val="footer"/>
    <w:basedOn w:val="1"/>
    <w:link w:val="18"/>
    <w:autoRedefine/>
    <w:qFormat/>
    <w:uiPriority w:val="0"/>
    <w:pPr>
      <w:tabs>
        <w:tab w:val="center" w:pos="4153"/>
        <w:tab w:val="right" w:pos="8306"/>
      </w:tabs>
      <w:snapToGrid w:val="0"/>
      <w:jc w:val="left"/>
    </w:pPr>
    <w:rPr>
      <w:sz w:val="18"/>
      <w:szCs w:val="18"/>
    </w:rPr>
  </w:style>
  <w:style w:type="paragraph" w:styleId="8">
    <w:name w:val="header"/>
    <w:basedOn w:val="1"/>
    <w:link w:val="17"/>
    <w:autoRedefine/>
    <w:qFormat/>
    <w:uiPriority w:val="0"/>
    <w:pPr>
      <w:pBdr>
        <w:bottom w:val="single" w:color="auto" w:sz="6" w:space="1"/>
      </w:pBdr>
      <w:tabs>
        <w:tab w:val="center" w:pos="4153"/>
        <w:tab w:val="right" w:pos="8306"/>
      </w:tabs>
      <w:snapToGrid w:val="0"/>
      <w:jc w:val="center"/>
    </w:pPr>
    <w:rPr>
      <w:sz w:val="18"/>
      <w:szCs w:val="18"/>
    </w:rPr>
  </w:style>
  <w:style w:type="paragraph" w:styleId="9">
    <w:name w:val="Body Text First Indent"/>
    <w:basedOn w:val="4"/>
    <w:next w:val="10"/>
    <w:autoRedefine/>
    <w:qFormat/>
    <w:uiPriority w:val="0"/>
    <w:pPr>
      <w:spacing w:line="360" w:lineRule="auto"/>
      <w:ind w:firstLine="420"/>
    </w:pPr>
    <w:rPr>
      <w:rFonts w:ascii="宋体" w:hAnsi="宋体"/>
      <w:sz w:val="24"/>
    </w:rPr>
  </w:style>
  <w:style w:type="paragraph" w:customStyle="1" w:styleId="10">
    <w:name w:val="样式 正文首行缩进 + 首行缩进:  2 字符1 Char Char"/>
    <w:basedOn w:val="1"/>
    <w:autoRedefine/>
    <w:qFormat/>
    <w:uiPriority w:val="0"/>
    <w:pPr>
      <w:adjustRightInd w:val="0"/>
      <w:spacing w:line="400" w:lineRule="exact"/>
      <w:textAlignment w:val="baseline"/>
    </w:pPr>
    <w:rPr>
      <w:rFonts w:ascii="宋体" w:hAnsi="宋体" w:eastAsia="仿宋_GB2312" w:cs="宋体"/>
      <w:color w:val="000000"/>
      <w:sz w:val="26"/>
    </w:rPr>
  </w:style>
  <w:style w:type="paragraph" w:customStyle="1" w:styleId="13">
    <w:name w:val="正文格式"/>
    <w:basedOn w:val="14"/>
    <w:qFormat/>
    <w:uiPriority w:val="0"/>
    <w:pPr>
      <w:widowControl/>
      <w:adjustRightInd w:val="0"/>
      <w:snapToGrid w:val="0"/>
      <w:spacing w:line="360" w:lineRule="auto"/>
      <w:ind w:firstLine="480" w:firstLineChars="200"/>
      <w:jc w:val="left"/>
      <w:textAlignment w:val="baseline"/>
    </w:pPr>
    <w:rPr>
      <w:rFonts w:ascii="宋体" w:hAnsi="宋体"/>
      <w:color w:val="000000"/>
      <w:kern w:val="0"/>
      <w:sz w:val="24"/>
    </w:rPr>
  </w:style>
  <w:style w:type="paragraph" w:customStyle="1" w:styleId="14">
    <w:name w:val="正文_20"/>
    <w:autoRedefine/>
    <w:qFormat/>
    <w:uiPriority w:val="0"/>
    <w:pPr>
      <w:widowControl w:val="0"/>
      <w:jc w:val="both"/>
    </w:pPr>
    <w:rPr>
      <w:rFonts w:ascii="Calibri" w:hAnsi="Calibri" w:eastAsia="宋体" w:cs="Times New Roman"/>
      <w:kern w:val="2"/>
      <w:sz w:val="21"/>
      <w:szCs w:val="22"/>
      <w:lang w:val="en-US" w:eastAsia="zh-CN" w:bidi="ar-SA"/>
    </w:rPr>
  </w:style>
  <w:style w:type="paragraph" w:customStyle="1" w:styleId="15">
    <w:name w:val="Heading3"/>
    <w:basedOn w:val="1"/>
    <w:next w:val="1"/>
    <w:autoRedefine/>
    <w:qFormat/>
    <w:uiPriority w:val="0"/>
    <w:pPr>
      <w:keepNext/>
      <w:keepLines/>
      <w:spacing w:before="260" w:after="260" w:line="412" w:lineRule="auto"/>
    </w:pPr>
    <w:rPr>
      <w:b/>
      <w:bCs/>
      <w:sz w:val="32"/>
      <w:szCs w:val="32"/>
    </w:rPr>
  </w:style>
  <w:style w:type="paragraph" w:customStyle="1" w:styleId="16">
    <w:name w:val="信息部正文"/>
    <w:basedOn w:val="1"/>
    <w:autoRedefine/>
    <w:qFormat/>
    <w:uiPriority w:val="0"/>
    <w:rPr>
      <w:rFonts w:ascii="宋体" w:hAnsi="宋体" w:cs="宋体"/>
    </w:rPr>
  </w:style>
  <w:style w:type="character" w:customStyle="1" w:styleId="17">
    <w:name w:val="页眉 Char"/>
    <w:basedOn w:val="12"/>
    <w:link w:val="8"/>
    <w:autoRedefine/>
    <w:qFormat/>
    <w:uiPriority w:val="0"/>
    <w:rPr>
      <w:kern w:val="2"/>
      <w:sz w:val="18"/>
      <w:szCs w:val="18"/>
    </w:rPr>
  </w:style>
  <w:style w:type="character" w:customStyle="1" w:styleId="18">
    <w:name w:val="页脚 Char"/>
    <w:basedOn w:val="12"/>
    <w:link w:val="7"/>
    <w:autoRedefine/>
    <w:qFormat/>
    <w:uiPriority w:val="0"/>
    <w:rPr>
      <w:kern w:val="2"/>
      <w:sz w:val="18"/>
      <w:szCs w:val="18"/>
    </w:rPr>
  </w:style>
  <w:style w:type="paragraph" w:styleId="19">
    <w:name w:val="List Paragraph"/>
    <w:basedOn w:val="1"/>
    <w:autoRedefine/>
    <w:qFormat/>
    <w:uiPriority w:val="99"/>
    <w:pPr>
      <w:ind w:firstLine="42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6</Pages>
  <Words>383</Words>
  <Characters>2187</Characters>
  <Lines>18</Lines>
  <Paragraphs>5</Paragraphs>
  <TotalTime>0</TotalTime>
  <ScaleCrop>false</ScaleCrop>
  <LinksUpToDate>false</LinksUpToDate>
  <CharactersWithSpaces>2565</CharactersWithSpaces>
  <Application>WPS Office_12.1.0.16399_F1E327BC-269C-435d-A152-05C5408002CA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2024-03-08T06:31:00Z</dcterms:created>
  <dc:creator>丹姐</dc:creator>
  <cp:lastModifiedBy>红尘</cp:lastModifiedBy>
  <dcterms:modified xsi:type="dcterms:W3CDTF">2024-03-11T07:32:56Z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2052-12.1.0.16399</vt:lpwstr>
  </property>
  <property fmtid="{D5CDD505-2E9C-101B-9397-08002B2CF9AE}" pid="3" name="ICV">
    <vt:lpwstr>F1EDD5DCD7B940F1998CEE58C9FE1411_13</vt:lpwstr>
  </property>
</Properties>
</file>