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bookmarkStart w:id="0" w:name="_GoBack"/>
      <w:r>
        <w:rPr>
          <w:rFonts w:hint="eastAsia" w:ascii="宋体" w:hAnsi="宋体" w:cs="宋体"/>
          <w:b/>
          <w:bCs/>
          <w:color w:val="auto"/>
          <w:kern w:val="0"/>
          <w:sz w:val="40"/>
          <w:szCs w:val="40"/>
        </w:rPr>
        <w:t>冬笋坝珍品文物运输服务</w:t>
      </w:r>
      <w:bookmarkEnd w:id="0"/>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5"/>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冬笋坝遗址出土文物修复保护项目已结项验收，拟移交至重庆巴人博物馆出土文物包装运输。总计：441 件/套。其中基本完整文物 3 件/套、已修复文物 321 件/套、可修复 117 件/套。</w:t>
      </w:r>
    </w:p>
    <w:p w14:paraId="69CF8EB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人民币37455元，大写：</w:t>
      </w:r>
      <w:r>
        <w:rPr>
          <w:rFonts w:hint="eastAsia" w:ascii="宋体" w:hAnsi="宋体" w:cs="宋体"/>
          <w:color w:val="auto"/>
          <w:kern w:val="0"/>
          <w:sz w:val="24"/>
          <w:szCs w:val="24"/>
          <w:lang w:val="en-US" w:eastAsia="zh-CN"/>
        </w:rPr>
        <w:t>叁万柒仟肆佰伍拾伍</w:t>
      </w:r>
      <w:r>
        <w:rPr>
          <w:rFonts w:hint="eastAsia" w:ascii="宋体" w:hAnsi="宋体" w:cs="宋体"/>
          <w:color w:val="auto"/>
          <w:kern w:val="0"/>
          <w:sz w:val="24"/>
          <w:szCs w:val="24"/>
        </w:rPr>
        <w:t>元整。</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46B940F0">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与馆方工作人员双方交接，然后工作人员将文物转交给运输公司包装人员，操作前工作人员对文物查看现状、记录、拍照、记录。</w:t>
      </w:r>
    </w:p>
    <w:p w14:paraId="740CDEAD">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1、文物点交：将文物取出后，包装前进行展品点交、交接工作，排除后期文物上展时不确定因素。</w:t>
      </w:r>
    </w:p>
    <w:p w14:paraId="4533A3AA">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2、文物包装：</w:t>
      </w:r>
    </w:p>
    <w:p w14:paraId="4A5EC1DF">
      <w:pPr>
        <w:pStyle w:val="19"/>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00" w:lineRule="exact"/>
        <w:ind w:left="425" w:leftChars="0" w:hanging="425" w:firstLineChars="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包装人员使用包装棉纸包裹，将器物装入尺寸合理的包装箱内，并使用柔软棉纸填充空虚部位。</w:t>
      </w:r>
    </w:p>
    <w:p w14:paraId="6C9AEA5A">
      <w:pPr>
        <w:pStyle w:val="19"/>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00" w:lineRule="exact"/>
        <w:ind w:left="425" w:leftChars="0" w:hanging="425" w:firstLineChars="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有序进行展品包装、装箱，展品装箱后将包装箱集中放置。</w:t>
      </w:r>
    </w:p>
    <w:p w14:paraId="420AAC45">
      <w:pPr>
        <w:pStyle w:val="19"/>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00" w:lineRule="exact"/>
        <w:ind w:left="425" w:leftChars="0" w:hanging="425" w:firstLineChars="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包装箱粘贴封条，注明日期、装箱人等 ，同时放入一式三联装箱单，双方留存备份。</w:t>
      </w:r>
    </w:p>
    <w:p w14:paraId="32FFE634">
      <w:pPr>
        <w:pStyle w:val="19"/>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00" w:lineRule="exact"/>
        <w:ind w:left="425" w:leftChars="0" w:hanging="425" w:firstLineChars="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外箱注明箱内物品详情，并标注箱号。</w:t>
      </w:r>
    </w:p>
    <w:p w14:paraId="77DF2AF6">
      <w:pPr>
        <w:numPr>
          <w:ilvl w:val="0"/>
          <w:numId w:val="3"/>
        </w:numPr>
        <w:spacing w:line="594" w:lineRule="exact"/>
        <w:ind w:firstLine="480" w:firstLineChars="200"/>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文物运输</w:t>
      </w:r>
    </w:p>
    <w:p w14:paraId="17A3BF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运输公司操作人员将文物包装箱装入车辆，使用拉紧带装置固定包装箱，防护包装箱运输过程中稳定性运输途中由馆方工作人员进行押运，双方共同将文物稳妥运输至目的地。</w:t>
      </w:r>
    </w:p>
    <w:p w14:paraId="7AD4F2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抵达目的地之后，馆方工作人指定位置，运输工作人员使用液压车、拖排等运输工具，将包装箱缓慢放置指定位置。</w:t>
      </w:r>
    </w:p>
    <w:p w14:paraId="40C90EB1">
      <w:pPr>
        <w:numPr>
          <w:ilvl w:val="0"/>
          <w:numId w:val="3"/>
        </w:num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文物开箱/验收</w:t>
      </w:r>
    </w:p>
    <w:p w14:paraId="0462D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根据馆方需求以及指令，运输公司操作人员与馆方工作人员共同在场的情况下，检查封条完好，并按照顺序开箱。双方对全部文物数量、状况进行验收，直到工作全部结束。</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sz w:val="24"/>
          <w:szCs w:val="24"/>
        </w:rPr>
        <w:t>2025年</w:t>
      </w:r>
      <w:r>
        <w:rPr>
          <w:rFonts w:hint="eastAsia" w:ascii="宋体" w:hAnsi="宋体" w:cs="宋体"/>
          <w:color w:val="auto"/>
          <w:sz w:val="24"/>
          <w:szCs w:val="24"/>
          <w:lang w:val="en-US" w:eastAsia="zh-CN"/>
        </w:rPr>
        <w:t>1</w:t>
      </w:r>
      <w:r>
        <w:rPr>
          <w:rFonts w:hint="eastAsia" w:ascii="宋体" w:hAnsi="宋体" w:cs="宋体"/>
          <w:color w:val="auto"/>
          <w:sz w:val="24"/>
          <w:szCs w:val="24"/>
        </w:rPr>
        <w:t>月28日</w:t>
      </w:r>
      <w:r>
        <w:rPr>
          <w:rFonts w:hint="eastAsia" w:ascii="宋体" w:hAnsi="宋体" w:cs="宋体"/>
          <w:color w:val="auto"/>
          <w:sz w:val="24"/>
          <w:szCs w:val="24"/>
          <w:lang w:val="en-US" w:eastAsia="zh-CN"/>
        </w:rPr>
        <w:t>前完成全部工作并经我院验收合格</w:t>
      </w:r>
      <w:r>
        <w:rPr>
          <w:rFonts w:hint="eastAsia" w:ascii="宋体" w:hAnsi="宋体" w:cs="宋体"/>
          <w:color w:val="auto"/>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支付合同</w:t>
      </w:r>
      <w:r>
        <w:rPr>
          <w:rFonts w:hint="eastAsia" w:ascii="宋体" w:hAnsi="宋体" w:eastAsia="宋体" w:cs="宋体"/>
          <w:color w:val="auto"/>
          <w:kern w:val="2"/>
          <w:sz w:val="24"/>
          <w:szCs w:val="24"/>
          <w:lang w:val="en-US" w:eastAsia="zh-CN" w:bidi="ar-SA"/>
        </w:rPr>
        <w:t>金额的30％</w:t>
      </w:r>
      <w:r>
        <w:rPr>
          <w:rFonts w:hint="eastAsia" w:ascii="宋体" w:hAnsi="宋体" w:cs="宋体"/>
          <w:color w:val="auto"/>
          <w:kern w:val="2"/>
          <w:sz w:val="24"/>
          <w:szCs w:val="24"/>
          <w:lang w:val="en-US" w:eastAsia="zh-CN" w:bidi="ar-SA"/>
        </w:rPr>
        <w:t>；成交供应商完成全部工作经我院验收合格且收到成交供应商提供的合法有效的正式发票后10个工作日内，我院将支付合同总金额70％。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1</w:t>
      </w:r>
      <w:r>
        <w:rPr>
          <w:rFonts w:hint="eastAsia" w:ascii="宋体" w:hAnsi="宋体" w:cs="宋体"/>
          <w:color w:val="auto"/>
          <w:sz w:val="24"/>
          <w:szCs w:val="24"/>
        </w:rPr>
        <w:t>月</w:t>
      </w:r>
      <w:r>
        <w:rPr>
          <w:rFonts w:hint="eastAsia" w:ascii="宋体" w:hAnsi="宋体" w:cs="宋体"/>
          <w:color w:val="auto"/>
          <w:sz w:val="24"/>
          <w:szCs w:val="24"/>
          <w:lang w:val="en-US" w:eastAsia="zh-CN"/>
        </w:rPr>
        <w:t>16</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E39DF53">
      <w:pPr>
        <w:snapToGrid w:val="0"/>
        <w:spacing w:line="360" w:lineRule="auto"/>
        <w:ind w:firstLine="360" w:firstLineChars="150"/>
        <w:rPr>
          <w:rFonts w:hint="eastAsia" w:ascii="宋体" w:hAnsi="宋体" w:cs="宋体"/>
          <w:color w:val="auto"/>
          <w:sz w:val="24"/>
          <w:szCs w:val="24"/>
        </w:rPr>
      </w:pPr>
    </w:p>
    <w:p w14:paraId="4D3E7B23">
      <w:pPr>
        <w:snapToGrid w:val="0"/>
        <w:spacing w:line="360" w:lineRule="auto"/>
        <w:ind w:firstLine="360" w:firstLineChars="150"/>
        <w:rPr>
          <w:rFonts w:hint="eastAsia" w:ascii="宋体" w:hAnsi="宋体" w:cs="宋体"/>
          <w:color w:val="auto"/>
          <w:sz w:val="24"/>
          <w:szCs w:val="24"/>
        </w:rPr>
      </w:pPr>
    </w:p>
    <w:p w14:paraId="433CA9D1">
      <w:pPr>
        <w:snapToGrid w:val="0"/>
        <w:spacing w:line="360" w:lineRule="auto"/>
        <w:ind w:firstLine="360" w:firstLineChars="150"/>
        <w:rPr>
          <w:rFonts w:hint="eastAsia" w:ascii="宋体" w:hAnsi="宋体" w:cs="宋体"/>
          <w:color w:val="auto"/>
          <w:sz w:val="24"/>
          <w:szCs w:val="24"/>
        </w:rPr>
      </w:pPr>
    </w:p>
    <w:p w14:paraId="155CE486">
      <w:pPr>
        <w:snapToGrid w:val="0"/>
        <w:spacing w:line="360" w:lineRule="auto"/>
        <w:ind w:firstLine="360" w:firstLineChars="150"/>
        <w:rPr>
          <w:rFonts w:hint="eastAsia" w:ascii="宋体" w:hAnsi="宋体" w:cs="宋体"/>
          <w:color w:val="auto"/>
          <w:sz w:val="24"/>
          <w:szCs w:val="24"/>
        </w:rPr>
      </w:pPr>
    </w:p>
    <w:p w14:paraId="3055CA4B">
      <w:pPr>
        <w:snapToGrid w:val="0"/>
        <w:spacing w:line="360" w:lineRule="auto"/>
        <w:ind w:firstLine="360" w:firstLineChars="150"/>
        <w:rPr>
          <w:rFonts w:hint="eastAsia" w:ascii="宋体" w:hAnsi="宋体" w:cs="宋体"/>
          <w:color w:val="auto"/>
          <w:sz w:val="24"/>
          <w:szCs w:val="24"/>
        </w:rPr>
      </w:pPr>
    </w:p>
    <w:p w14:paraId="673DCC84">
      <w:pPr>
        <w:snapToGrid w:val="0"/>
        <w:spacing w:line="360" w:lineRule="auto"/>
        <w:ind w:firstLine="360" w:firstLineChars="150"/>
        <w:rPr>
          <w:rFonts w:hint="eastAsia" w:ascii="宋体" w:hAnsi="宋体" w:cs="宋体"/>
          <w:color w:val="auto"/>
          <w:sz w:val="24"/>
          <w:szCs w:val="24"/>
        </w:rPr>
      </w:pPr>
    </w:p>
    <w:p w14:paraId="54B00FE3">
      <w:pPr>
        <w:snapToGrid w:val="0"/>
        <w:spacing w:line="360" w:lineRule="auto"/>
        <w:ind w:firstLine="360" w:firstLineChars="150"/>
        <w:rPr>
          <w:rFonts w:hint="eastAsia" w:ascii="宋体" w:hAnsi="宋体" w:cs="宋体"/>
          <w:color w:val="auto"/>
          <w:sz w:val="24"/>
          <w:szCs w:val="24"/>
        </w:rPr>
      </w:pPr>
    </w:p>
    <w:p w14:paraId="01B04AB0">
      <w:pPr>
        <w:snapToGrid w:val="0"/>
        <w:spacing w:line="360" w:lineRule="auto"/>
        <w:ind w:firstLine="360" w:firstLineChars="150"/>
        <w:rPr>
          <w:rFonts w:hint="eastAsia" w:ascii="宋体" w:hAnsi="宋体" w:cs="宋体"/>
          <w:color w:val="auto"/>
          <w:sz w:val="24"/>
          <w:szCs w:val="24"/>
        </w:rPr>
      </w:pPr>
    </w:p>
    <w:p w14:paraId="49E32242">
      <w:pPr>
        <w:snapToGrid w:val="0"/>
        <w:spacing w:line="360" w:lineRule="auto"/>
        <w:ind w:firstLine="360" w:firstLineChars="150"/>
        <w:rPr>
          <w:rFonts w:hint="eastAsia" w:ascii="宋体" w:hAnsi="宋体" w:cs="宋体"/>
          <w:color w:val="auto"/>
          <w:sz w:val="24"/>
          <w:szCs w:val="24"/>
        </w:rPr>
      </w:pPr>
    </w:p>
    <w:p w14:paraId="30C7D137">
      <w:pPr>
        <w:snapToGrid w:val="0"/>
        <w:spacing w:line="360" w:lineRule="auto"/>
        <w:ind w:firstLine="360" w:firstLineChars="150"/>
        <w:rPr>
          <w:rFonts w:hint="eastAsia" w:ascii="宋体" w:hAnsi="宋体" w:cs="宋体"/>
          <w:color w:val="auto"/>
          <w:sz w:val="24"/>
          <w:szCs w:val="24"/>
        </w:rPr>
      </w:pPr>
    </w:p>
    <w:p w14:paraId="4FCC8DAA">
      <w:pPr>
        <w:snapToGrid w:val="0"/>
        <w:spacing w:line="360" w:lineRule="auto"/>
        <w:ind w:firstLine="360" w:firstLineChars="150"/>
        <w:rPr>
          <w:rFonts w:hint="eastAsia" w:ascii="宋体" w:hAnsi="宋体" w:cs="宋体"/>
          <w:color w:val="auto"/>
          <w:sz w:val="24"/>
          <w:szCs w:val="24"/>
        </w:rPr>
      </w:pPr>
    </w:p>
    <w:p w14:paraId="21436946">
      <w:pPr>
        <w:snapToGrid w:val="0"/>
        <w:spacing w:line="360" w:lineRule="auto"/>
        <w:ind w:firstLine="360" w:firstLineChars="150"/>
        <w:rPr>
          <w:rFonts w:hint="eastAsia" w:ascii="宋体" w:hAnsi="宋体" w:cs="宋体"/>
          <w:color w:val="auto"/>
          <w:sz w:val="24"/>
          <w:szCs w:val="24"/>
        </w:rPr>
      </w:pPr>
    </w:p>
    <w:p w14:paraId="434506E9">
      <w:pPr>
        <w:snapToGrid w:val="0"/>
        <w:spacing w:line="360" w:lineRule="auto"/>
        <w:ind w:firstLine="360" w:firstLineChars="150"/>
        <w:rPr>
          <w:rFonts w:hint="eastAsia" w:ascii="宋体" w:hAnsi="宋体" w:cs="宋体"/>
          <w:color w:val="auto"/>
          <w:sz w:val="24"/>
          <w:szCs w:val="24"/>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A1AC75F-0FBA-4959-B5C3-DD529255CCB7}"/>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546AB1F1-50DB-49D4-AB57-60C5BA08F2C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670C9"/>
    <w:multiLevelType w:val="singleLevel"/>
    <w:tmpl w:val="8F3670C9"/>
    <w:lvl w:ilvl="0" w:tentative="0">
      <w:start w:val="3"/>
      <w:numFmt w:val="decimal"/>
      <w:suff w:val="nothing"/>
      <w:lvlText w:val="%1、"/>
      <w:lvlJc w:val="left"/>
    </w:lvl>
  </w:abstractNum>
  <w:abstractNum w:abstractNumId="1">
    <w:nsid w:val="FF40FC28"/>
    <w:multiLevelType w:val="singleLevel"/>
    <w:tmpl w:val="FF40FC28"/>
    <w:lvl w:ilvl="0" w:tentative="0">
      <w:start w:val="1"/>
      <w:numFmt w:val="decimal"/>
      <w:lvlText w:val="(%1)"/>
      <w:lvlJc w:val="left"/>
      <w:pPr>
        <w:ind w:left="425" w:hanging="425"/>
      </w:pPr>
      <w:rPr>
        <w:rFonts w:hint="default"/>
      </w:rPr>
    </w:lvl>
  </w:abstractNum>
  <w:abstractNum w:abstractNumId="2">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3BC198A"/>
    <w:rsid w:val="181B0BD3"/>
    <w:rsid w:val="25981347"/>
    <w:rsid w:val="27321A96"/>
    <w:rsid w:val="28D11CDD"/>
    <w:rsid w:val="2B070964"/>
    <w:rsid w:val="2BBF5B57"/>
    <w:rsid w:val="2C482A44"/>
    <w:rsid w:val="2C964A81"/>
    <w:rsid w:val="2EC211EA"/>
    <w:rsid w:val="347F2794"/>
    <w:rsid w:val="34A62CC8"/>
    <w:rsid w:val="3AA06FEA"/>
    <w:rsid w:val="3AE05CBA"/>
    <w:rsid w:val="41DE4E43"/>
    <w:rsid w:val="44A742AF"/>
    <w:rsid w:val="4763768D"/>
    <w:rsid w:val="4E7D5950"/>
    <w:rsid w:val="4FA76912"/>
    <w:rsid w:val="51D5531F"/>
    <w:rsid w:val="52901701"/>
    <w:rsid w:val="530A3D39"/>
    <w:rsid w:val="54FC26B7"/>
    <w:rsid w:val="553D1193"/>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2325</Words>
  <Characters>2410</Characters>
  <Lines>16</Lines>
  <Paragraphs>4</Paragraphs>
  <TotalTime>27</TotalTime>
  <ScaleCrop>false</ScaleCrop>
  <LinksUpToDate>false</LinksUpToDate>
  <CharactersWithSpaces>2523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2025-01-09T08:57:05Z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4A6558654AE146D18DAA088794E6A8FA_13</vt:lpwstr>
  </property>
  <property fmtid="{D5CDD505-2E9C-101B-9397-08002B2CF9AE}" pid="4" name="KSOTemplateDocerSaveRecord">
    <vt:lpwstr>eyJoZGlkIjoiZDVjNWI3NDVkMWFmZDEwZDc1ZmM4MzZlZTgwMTQ0NTkiLCJ1c2VySWQiOiI2MzM1MjA5MDcifQ==</vt:lpwstr>
  </property>
</Properties>
</file>