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F15B9">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378BD5D4">
      <w:pPr>
        <w:widowControl/>
        <w:shd w:val="clear" w:color="auto" w:fill="FFFFFF"/>
        <w:spacing w:line="500" w:lineRule="exact"/>
        <w:rPr>
          <w:rFonts w:ascii="方正仿宋_GBK" w:hAnsi="宋体" w:eastAsia="方正仿宋_GBK" w:cs="宋体"/>
          <w:b/>
          <w:bCs/>
          <w:color w:val="auto"/>
          <w:kern w:val="0"/>
          <w:sz w:val="32"/>
          <w:szCs w:val="32"/>
        </w:rPr>
      </w:pPr>
    </w:p>
    <w:p w14:paraId="71F60D47">
      <w:pPr>
        <w:widowControl/>
        <w:shd w:val="clear" w:color="auto" w:fill="FFFFFF"/>
        <w:spacing w:line="500" w:lineRule="exact"/>
        <w:jc w:val="center"/>
        <w:rPr>
          <w:rFonts w:ascii="方正仿宋_GBK" w:hAnsi="宋体" w:eastAsia="方正仿宋_GBK" w:cs="宋体"/>
          <w:b/>
          <w:bCs/>
          <w:color w:val="auto"/>
          <w:kern w:val="0"/>
          <w:sz w:val="32"/>
          <w:szCs w:val="32"/>
        </w:rPr>
      </w:pPr>
    </w:p>
    <w:p w14:paraId="32C3B3D1">
      <w:pPr>
        <w:tabs>
          <w:tab w:val="center" w:pos="4566"/>
          <w:tab w:val="left" w:pos="7050"/>
        </w:tabs>
        <w:jc w:val="left"/>
        <w:rPr>
          <w:rFonts w:hint="eastAsia" w:ascii="宋体" w:hAnsi="宋体" w:eastAsia="宋体" w:cs="宋体"/>
          <w:b/>
          <w:bCs/>
          <w:color w:val="auto"/>
          <w:spacing w:val="80"/>
          <w:sz w:val="260"/>
          <w:szCs w:val="260"/>
          <w:lang w:eastAsia="zh-CN"/>
        </w:rPr>
      </w:pPr>
      <w:r>
        <w:rPr>
          <w:rFonts w:hint="eastAsia" w:ascii="宋体" w:hAnsi="宋体" w:cs="宋体"/>
          <w:b/>
          <w:bCs/>
          <w:color w:val="auto"/>
          <w:sz w:val="96"/>
          <w:szCs w:val="56"/>
          <w:lang w:eastAsia="zh-CN"/>
        </w:rPr>
        <w:tab/>
      </w:r>
      <w:r>
        <w:rPr>
          <w:rFonts w:hint="eastAsia" w:ascii="宋体" w:hAnsi="宋体" w:cs="宋体"/>
          <w:b/>
          <w:bCs/>
          <w:color w:val="auto"/>
          <w:sz w:val="96"/>
          <w:szCs w:val="56"/>
        </w:rPr>
        <w:t>询价文件</w:t>
      </w:r>
      <w:r>
        <w:rPr>
          <w:rFonts w:hint="eastAsia" w:ascii="宋体" w:hAnsi="宋体" w:cs="宋体"/>
          <w:b/>
          <w:bCs/>
          <w:color w:val="auto"/>
          <w:sz w:val="96"/>
          <w:szCs w:val="56"/>
          <w:lang w:eastAsia="zh-CN"/>
        </w:rPr>
        <w:tab/>
      </w:r>
    </w:p>
    <w:p w14:paraId="19A0E958">
      <w:pPr>
        <w:spacing w:line="700" w:lineRule="exact"/>
        <w:ind w:left="3196" w:leftChars="570" w:hanging="1600" w:hangingChars="500"/>
        <w:rPr>
          <w:rFonts w:ascii="宋体" w:hAnsi="宋体" w:cs="宋体"/>
          <w:color w:val="auto"/>
          <w:sz w:val="32"/>
          <w:szCs w:val="32"/>
        </w:rPr>
      </w:pPr>
    </w:p>
    <w:p w14:paraId="29BEEBD6">
      <w:pPr>
        <w:spacing w:line="700" w:lineRule="exact"/>
        <w:ind w:left="3196" w:leftChars="570" w:hanging="1600" w:hangingChars="500"/>
        <w:rPr>
          <w:rFonts w:ascii="宋体" w:hAnsi="宋体" w:cs="宋体"/>
          <w:color w:val="auto"/>
          <w:sz w:val="32"/>
          <w:szCs w:val="32"/>
        </w:rPr>
      </w:pPr>
    </w:p>
    <w:p w14:paraId="27F2E1F3">
      <w:pPr>
        <w:spacing w:line="700" w:lineRule="exact"/>
        <w:ind w:left="3196" w:leftChars="570" w:hanging="1600" w:hangingChars="500"/>
        <w:rPr>
          <w:rFonts w:ascii="宋体" w:hAnsi="宋体" w:cs="宋体"/>
          <w:color w:val="auto"/>
          <w:sz w:val="32"/>
          <w:szCs w:val="32"/>
        </w:rPr>
      </w:pPr>
    </w:p>
    <w:p w14:paraId="40F44C8D">
      <w:pPr>
        <w:spacing w:line="700" w:lineRule="exact"/>
        <w:ind w:left="3196" w:leftChars="570" w:hanging="1600" w:hangingChars="500"/>
        <w:rPr>
          <w:rFonts w:ascii="宋体" w:hAnsi="宋体" w:cs="宋体"/>
          <w:color w:val="auto"/>
          <w:sz w:val="32"/>
          <w:szCs w:val="32"/>
        </w:rPr>
      </w:pPr>
    </w:p>
    <w:p w14:paraId="6164B73C">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西南文物考古</w:t>
      </w:r>
      <w:r>
        <w:rPr>
          <w:rFonts w:hint="eastAsia" w:ascii="宋体" w:hAnsi="宋体" w:cs="宋体"/>
          <w:b/>
          <w:bCs/>
          <w:color w:val="auto"/>
          <w:kern w:val="0"/>
          <w:sz w:val="40"/>
          <w:szCs w:val="40"/>
        </w:rPr>
        <w:t>》</w:t>
      </w:r>
      <w:r>
        <w:rPr>
          <w:rFonts w:hint="eastAsia" w:ascii="宋体" w:hAnsi="宋体" w:cs="宋体"/>
          <w:b/>
          <w:bCs/>
          <w:color w:val="auto"/>
          <w:kern w:val="0"/>
          <w:sz w:val="40"/>
          <w:szCs w:val="40"/>
          <w:lang w:val="en-US" w:eastAsia="zh-CN"/>
        </w:rPr>
        <w:t>集刊稿件审核技术</w:t>
      </w:r>
      <w:r>
        <w:rPr>
          <w:rFonts w:hint="eastAsia" w:ascii="宋体" w:hAnsi="宋体" w:cs="宋体"/>
          <w:b/>
          <w:bCs/>
          <w:color w:val="auto"/>
          <w:kern w:val="0"/>
          <w:sz w:val="40"/>
          <w:szCs w:val="40"/>
        </w:rPr>
        <w:t>服务</w:t>
      </w:r>
    </w:p>
    <w:p w14:paraId="29CE8C86">
      <w:pPr>
        <w:widowControl/>
        <w:shd w:val="clear" w:color="auto" w:fill="FFFFFF"/>
        <w:spacing w:line="500" w:lineRule="exact"/>
        <w:jc w:val="center"/>
        <w:rPr>
          <w:rFonts w:ascii="宋体" w:hAnsi="宋体" w:cs="宋体"/>
          <w:b/>
          <w:bCs/>
          <w:color w:val="auto"/>
          <w:kern w:val="0"/>
          <w:sz w:val="40"/>
          <w:szCs w:val="40"/>
        </w:rPr>
      </w:pPr>
    </w:p>
    <w:p w14:paraId="7603B914">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21D4C3FA">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2BD8201A">
      <w:pPr>
        <w:widowControl/>
        <w:shd w:val="clear" w:color="auto" w:fill="FFFFFF"/>
        <w:spacing w:line="500" w:lineRule="exact"/>
        <w:jc w:val="center"/>
        <w:rPr>
          <w:rFonts w:ascii="宋体" w:hAnsi="宋体" w:cs="宋体"/>
          <w:b/>
          <w:bCs/>
          <w:color w:val="auto"/>
          <w:kern w:val="0"/>
          <w:sz w:val="32"/>
          <w:szCs w:val="32"/>
        </w:rPr>
      </w:pPr>
    </w:p>
    <w:p w14:paraId="75FF567A">
      <w:pPr>
        <w:widowControl/>
        <w:shd w:val="clear" w:color="auto" w:fill="FFFFFF"/>
        <w:spacing w:line="500" w:lineRule="exact"/>
        <w:jc w:val="center"/>
        <w:rPr>
          <w:rFonts w:ascii="宋体" w:hAnsi="宋体" w:cs="宋体"/>
          <w:b/>
          <w:bCs/>
          <w:color w:val="auto"/>
          <w:kern w:val="0"/>
          <w:sz w:val="32"/>
          <w:szCs w:val="32"/>
        </w:rPr>
      </w:pPr>
    </w:p>
    <w:p w14:paraId="3FE730D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三</w:t>
      </w:r>
      <w:r>
        <w:rPr>
          <w:rFonts w:hint="eastAsia" w:ascii="宋体" w:hAnsi="宋体" w:cs="宋体"/>
          <w:b/>
          <w:bCs/>
          <w:color w:val="auto"/>
          <w:kern w:val="0"/>
          <w:sz w:val="32"/>
          <w:szCs w:val="32"/>
        </w:rPr>
        <w:t>月</w:t>
      </w:r>
    </w:p>
    <w:p w14:paraId="2F44D7DF">
      <w:pPr>
        <w:widowControl/>
        <w:shd w:val="clear" w:color="auto" w:fill="FFFFFF"/>
        <w:spacing w:line="500" w:lineRule="exact"/>
        <w:jc w:val="center"/>
        <w:rPr>
          <w:rFonts w:ascii="宋体" w:hAnsi="宋体" w:cs="宋体"/>
          <w:b/>
          <w:bCs/>
          <w:color w:val="auto"/>
          <w:kern w:val="0"/>
          <w:sz w:val="32"/>
          <w:szCs w:val="32"/>
        </w:rPr>
      </w:pPr>
    </w:p>
    <w:p w14:paraId="601D68E1">
      <w:pPr>
        <w:widowControl/>
        <w:shd w:val="clear" w:color="auto" w:fill="FFFFFF"/>
        <w:spacing w:line="500" w:lineRule="exact"/>
        <w:jc w:val="center"/>
        <w:rPr>
          <w:rFonts w:ascii="宋体" w:hAnsi="宋体" w:cs="宋体"/>
          <w:b/>
          <w:bCs/>
          <w:color w:val="auto"/>
          <w:kern w:val="0"/>
          <w:sz w:val="32"/>
          <w:szCs w:val="32"/>
        </w:rPr>
      </w:pPr>
    </w:p>
    <w:p w14:paraId="56B57CF6">
      <w:pPr>
        <w:widowControl/>
        <w:shd w:val="clear" w:color="auto" w:fill="FFFFFF"/>
        <w:spacing w:line="500" w:lineRule="exact"/>
        <w:jc w:val="center"/>
        <w:rPr>
          <w:rFonts w:ascii="宋体" w:hAnsi="宋体" w:cs="宋体"/>
          <w:b/>
          <w:bCs/>
          <w:color w:val="auto"/>
          <w:kern w:val="0"/>
          <w:sz w:val="32"/>
          <w:szCs w:val="32"/>
        </w:rPr>
      </w:pPr>
    </w:p>
    <w:p w14:paraId="2C0D72A3">
      <w:pPr>
        <w:widowControl/>
        <w:shd w:val="clear" w:color="auto" w:fill="FFFFFF"/>
        <w:spacing w:line="500" w:lineRule="exact"/>
        <w:jc w:val="center"/>
        <w:rPr>
          <w:rFonts w:ascii="宋体" w:hAnsi="宋体" w:cs="宋体"/>
          <w:b/>
          <w:bCs/>
          <w:color w:val="auto"/>
          <w:kern w:val="0"/>
          <w:sz w:val="32"/>
          <w:szCs w:val="32"/>
        </w:rPr>
      </w:pPr>
    </w:p>
    <w:p w14:paraId="764E962D">
      <w:pPr>
        <w:pStyle w:val="16"/>
        <w:rPr>
          <w:color w:val="auto"/>
        </w:rPr>
      </w:pPr>
    </w:p>
    <w:p w14:paraId="5613B538">
      <w:pPr>
        <w:widowControl/>
        <w:shd w:val="clear" w:color="auto" w:fill="FFFFFF"/>
        <w:spacing w:line="500" w:lineRule="exact"/>
        <w:jc w:val="both"/>
        <w:rPr>
          <w:rFonts w:ascii="宋体" w:hAnsi="宋体" w:cs="宋体"/>
          <w:b/>
          <w:bCs/>
          <w:color w:val="auto"/>
          <w:kern w:val="0"/>
          <w:sz w:val="32"/>
          <w:szCs w:val="32"/>
        </w:rPr>
      </w:pPr>
    </w:p>
    <w:p w14:paraId="4676C9C6">
      <w:pPr>
        <w:pStyle w:val="4"/>
      </w:pPr>
    </w:p>
    <w:p w14:paraId="2BDE5708">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187CB40D">
      <w:pPr>
        <w:pStyle w:val="20"/>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307A27F">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为提高《西南文物考古》集刊质量，保障稿件的评审、审核等工作的科学性和公正性，我院现委托供应商开展集刊收稿稿件的审核、评审等技术服务工作。</w:t>
      </w:r>
    </w:p>
    <w:p w14:paraId="3E740010">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w:t>
      </w:r>
      <w:r>
        <w:rPr>
          <w:rFonts w:hint="eastAsia" w:ascii="宋体" w:hAnsi="宋体" w:cs="宋体"/>
          <w:b/>
          <w:bCs/>
          <w:color w:val="auto"/>
          <w:kern w:val="0"/>
          <w:sz w:val="24"/>
          <w:szCs w:val="24"/>
          <w:lang w:val="en-US" w:eastAsia="zh-CN"/>
        </w:rPr>
        <w:t>报价方式</w:t>
      </w:r>
    </w:p>
    <w:p w14:paraId="26073C1E">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稿件审核技术服务费包括专家审稿费、管理费、税费三部分，其中专家审稿费为400元/人/篇，管理费为专家审稿费的</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％，税费为（专家审稿费＋管理费）</w:t>
      </w:r>
      <w:r>
        <w:rPr>
          <w:rFonts w:hint="default"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税率。202</w:t>
      </w:r>
      <w:r>
        <w:rPr>
          <w:rFonts w:hint="eastAsia" w:ascii="宋体" w:hAnsi="宋体" w:cs="宋体"/>
          <w:color w:val="auto"/>
          <w:kern w:val="0"/>
          <w:sz w:val="24"/>
          <w:szCs w:val="24"/>
          <w:lang w:val="en-US" w:eastAsia="zh-CN"/>
        </w:rPr>
        <w:t>5</w:t>
      </w:r>
      <w:r>
        <w:rPr>
          <w:rFonts w:hint="eastAsia" w:ascii="宋体" w:hAnsi="宋体" w:eastAsia="宋体" w:cs="宋体"/>
          <w:color w:val="auto"/>
          <w:kern w:val="0"/>
          <w:sz w:val="24"/>
          <w:szCs w:val="24"/>
          <w:lang w:val="en-US" w:eastAsia="zh-CN"/>
        </w:rPr>
        <w:t>年度稿件审核技术服务费用总额上限为</w:t>
      </w:r>
      <w:r>
        <w:rPr>
          <w:rFonts w:hint="eastAsia" w:ascii="宋体" w:hAnsi="宋体" w:cs="宋体"/>
          <w:color w:val="auto"/>
          <w:kern w:val="0"/>
          <w:sz w:val="24"/>
          <w:szCs w:val="24"/>
          <w:u w:val="single"/>
        </w:rPr>
        <w:t>人民币</w:t>
      </w:r>
      <w:r>
        <w:rPr>
          <w:rFonts w:hint="eastAsia" w:ascii="宋体" w:hAnsi="宋体" w:cs="宋体"/>
          <w:color w:val="auto"/>
          <w:kern w:val="0"/>
          <w:sz w:val="24"/>
          <w:szCs w:val="24"/>
          <w:u w:val="single"/>
          <w:lang w:val="en-US" w:eastAsia="zh-CN"/>
        </w:rPr>
        <w:t>40000</w:t>
      </w:r>
      <w:r>
        <w:rPr>
          <w:rFonts w:hint="eastAsia" w:ascii="宋体" w:hAnsi="宋体" w:cs="宋体"/>
          <w:color w:val="auto"/>
          <w:kern w:val="0"/>
          <w:sz w:val="24"/>
          <w:szCs w:val="24"/>
          <w:u w:val="single"/>
        </w:rPr>
        <w:t>元，大写：肆万元整</w:t>
      </w: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供应商报价即代表认可专家审稿费标准，并以稿件审核技术服务费中的管理费费率为报价标准。</w:t>
      </w:r>
    </w:p>
    <w:p w14:paraId="6AD882C4">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7A5540AC">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主要工作内容如下：</w:t>
      </w:r>
    </w:p>
    <w:p w14:paraId="4B4DF7B6">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1.我院将待审核的稿件文字、图版等有关资料提供给供应商，供应商根据我院提供的稿件，组织专家对稿件进行审核，专家审核完成后提交电子版或纸质版的《稿件审核意见表》。</w:t>
      </w:r>
    </w:p>
    <w:p w14:paraId="40C04780">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2.供应商完成审稿服务工作后向我院提交专家评审的《稿件审核意见表》原稿</w:t>
      </w:r>
      <w:r>
        <w:rPr>
          <w:rFonts w:hint="eastAsia" w:ascii="宋体" w:hAnsi="宋体" w:cs="宋体"/>
          <w:color w:val="auto"/>
          <w:kern w:val="0"/>
          <w:sz w:val="24"/>
          <w:szCs w:val="24"/>
          <w:lang w:val="en-US" w:eastAsia="zh-CN"/>
        </w:rPr>
        <w:t>、手写签名的电子或纸质审稿移交表</w:t>
      </w:r>
      <w:r>
        <w:rPr>
          <w:rFonts w:hint="eastAsia" w:ascii="宋体" w:hAnsi="宋体" w:eastAsia="宋体" w:cs="宋体"/>
          <w:color w:val="auto"/>
          <w:kern w:val="0"/>
          <w:sz w:val="24"/>
          <w:szCs w:val="24"/>
          <w:lang w:val="en-US" w:eastAsia="zh-CN"/>
        </w:rPr>
        <w:t>和有效票据，我院在收到上述资料后，按月采用一次性转账的方式向供应商拨付款项。</w:t>
      </w:r>
    </w:p>
    <w:p w14:paraId="330D883D">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60E20449">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590691A0">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6F870A72">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7DFEDD6E">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27DE20B7">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val="en-US" w:eastAsia="zh-CN"/>
        </w:rPr>
        <w:t>违法</w:t>
      </w:r>
      <w:bookmarkStart w:id="0" w:name="_GoBack"/>
      <w:bookmarkEnd w:id="0"/>
      <w:r>
        <w:rPr>
          <w:rFonts w:hint="eastAsia" w:ascii="宋体" w:hAnsi="宋体" w:cs="宋体"/>
          <w:color w:val="auto"/>
          <w:sz w:val="24"/>
          <w:szCs w:val="24"/>
        </w:rPr>
        <w:t>记录；</w:t>
      </w:r>
    </w:p>
    <w:p w14:paraId="2C596F8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3FDBD0B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3DDA5CC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573A0E66">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5553E2E6">
      <w:pPr>
        <w:widowControl/>
        <w:shd w:val="clear" w:color="auto" w:fill="FFFFFF"/>
        <w:spacing w:line="500" w:lineRule="exact"/>
        <w:ind w:firstLine="645"/>
        <w:jc w:val="left"/>
        <w:rPr>
          <w:rFonts w:hint="default"/>
          <w:lang w:val="en-US" w:eastAsia="zh-CN"/>
        </w:rPr>
      </w:pPr>
      <w:r>
        <w:rPr>
          <w:rFonts w:hint="eastAsia" w:ascii="宋体" w:hAnsi="宋体" w:cs="宋体"/>
          <w:color w:val="auto"/>
          <w:kern w:val="0"/>
          <w:sz w:val="24"/>
          <w:szCs w:val="24"/>
          <w:lang w:val="en-US" w:eastAsia="zh-CN"/>
        </w:rPr>
        <w:t>2025年内，供应商应在我院发送需要审核的稿件后30天内返回专家审稿意见并完成相关审稿服务工作。若</w:t>
      </w:r>
      <w:r>
        <w:rPr>
          <w:rFonts w:hint="eastAsia" w:ascii="宋体" w:hAnsi="宋体" w:eastAsia="宋体" w:cs="宋体"/>
          <w:color w:val="auto"/>
          <w:kern w:val="0"/>
          <w:sz w:val="24"/>
          <w:szCs w:val="24"/>
          <w:lang w:val="en-US" w:eastAsia="zh-CN"/>
        </w:rPr>
        <w:t>审核技术服务费</w:t>
      </w:r>
      <w:r>
        <w:rPr>
          <w:rFonts w:hint="eastAsia" w:ascii="宋体" w:hAnsi="宋体" w:cs="宋体"/>
          <w:color w:val="auto"/>
          <w:kern w:val="0"/>
          <w:sz w:val="24"/>
          <w:szCs w:val="24"/>
          <w:lang w:val="en-US" w:eastAsia="zh-CN"/>
        </w:rPr>
        <w:t>于2025年12月31日前已经全部使用，则服务周期提前结束；若审核技术服务费于2025年12月31日仍未达上限，服务周期亦于2025年12月31日结束。</w:t>
      </w:r>
    </w:p>
    <w:p w14:paraId="6A5D1AB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5FA41F22">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19CED525">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19E36CA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6F9910BD">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0D73746E">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05CB2476">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1F164865">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3C980C4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641BAA3A">
      <w:pPr>
        <w:pStyle w:val="7"/>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02D9C8C">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46B66C05">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2E2E906">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4FA1CA98">
      <w:pPr>
        <w:widowControl/>
        <w:spacing w:line="50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完成</w:t>
      </w:r>
      <w:r>
        <w:rPr>
          <w:rFonts w:hint="eastAsia" w:ascii="宋体" w:hAnsi="宋体" w:eastAsia="宋体" w:cs="宋体"/>
          <w:color w:val="auto"/>
          <w:sz w:val="24"/>
          <w:szCs w:val="24"/>
          <w:lang w:val="en-US" w:eastAsia="zh-CN"/>
        </w:rPr>
        <w:t>审稿服务</w:t>
      </w:r>
      <w:r>
        <w:rPr>
          <w:rFonts w:hint="eastAsia" w:ascii="宋体" w:hAnsi="宋体" w:eastAsia="宋体" w:cs="宋体"/>
          <w:color w:val="auto"/>
          <w:sz w:val="24"/>
          <w:szCs w:val="24"/>
          <w:lang w:eastAsia="zh-CN"/>
        </w:rPr>
        <w:t>工作</w:t>
      </w:r>
      <w:r>
        <w:rPr>
          <w:rFonts w:hint="eastAsia" w:ascii="宋体" w:hAnsi="宋体" w:eastAsia="宋体" w:cs="宋体"/>
          <w:color w:val="auto"/>
          <w:sz w:val="24"/>
          <w:szCs w:val="24"/>
          <w:lang w:val="en-US" w:eastAsia="zh-CN"/>
        </w:rPr>
        <w:t>后</w:t>
      </w:r>
      <w:r>
        <w:rPr>
          <w:rFonts w:hint="eastAsia" w:ascii="宋体" w:hAnsi="宋体" w:eastAsia="宋体" w:cs="宋体"/>
          <w:color w:val="auto"/>
          <w:sz w:val="24"/>
          <w:szCs w:val="24"/>
        </w:rPr>
        <w:t>向</w:t>
      </w:r>
      <w:r>
        <w:rPr>
          <w:rFonts w:hint="eastAsia" w:ascii="宋体" w:hAnsi="宋体" w:eastAsia="宋体" w:cs="宋体"/>
          <w:color w:val="auto"/>
          <w:sz w:val="24"/>
          <w:szCs w:val="24"/>
          <w:lang w:val="en-US" w:eastAsia="zh-CN"/>
        </w:rPr>
        <w:t>我院</w:t>
      </w:r>
      <w:r>
        <w:rPr>
          <w:rFonts w:hint="eastAsia" w:ascii="宋体" w:hAnsi="宋体" w:eastAsia="宋体" w:cs="宋体"/>
          <w:color w:val="auto"/>
          <w:sz w:val="24"/>
          <w:szCs w:val="24"/>
        </w:rPr>
        <w:t>提交</w:t>
      </w:r>
      <w:r>
        <w:rPr>
          <w:rFonts w:hint="eastAsia" w:ascii="宋体" w:hAnsi="宋体" w:eastAsia="宋体" w:cs="宋体"/>
          <w:color w:val="auto"/>
          <w:sz w:val="24"/>
          <w:szCs w:val="24"/>
          <w:lang w:val="en-US" w:eastAsia="zh-CN"/>
        </w:rPr>
        <w:t>专家评审的《稿件审核意见表》原稿和有效票据，我院在收到上述资料后，按月</w:t>
      </w:r>
      <w:r>
        <w:rPr>
          <w:rFonts w:hint="eastAsia" w:ascii="宋体" w:hAnsi="宋体" w:eastAsia="宋体" w:cs="宋体"/>
          <w:color w:val="auto"/>
          <w:sz w:val="24"/>
          <w:szCs w:val="24"/>
        </w:rPr>
        <w:t>采用</w:t>
      </w:r>
      <w:r>
        <w:rPr>
          <w:rFonts w:hint="eastAsia" w:ascii="宋体" w:hAnsi="宋体" w:eastAsia="宋体" w:cs="宋体"/>
          <w:color w:val="auto"/>
          <w:sz w:val="24"/>
          <w:szCs w:val="24"/>
          <w:lang w:val="en-US" w:eastAsia="zh-CN"/>
        </w:rPr>
        <w:t>一次性转账的方式</w:t>
      </w:r>
      <w:r>
        <w:rPr>
          <w:rFonts w:hint="eastAsia" w:ascii="宋体" w:hAnsi="宋体" w:eastAsia="宋体" w:cs="宋体"/>
          <w:color w:val="auto"/>
          <w:sz w:val="24"/>
          <w:szCs w:val="24"/>
        </w:rPr>
        <w:t>向</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拨</w:t>
      </w:r>
      <w:r>
        <w:rPr>
          <w:rFonts w:hint="eastAsia" w:ascii="宋体" w:hAnsi="宋体" w:eastAsia="宋体" w:cs="宋体"/>
          <w:color w:val="auto"/>
          <w:sz w:val="24"/>
          <w:szCs w:val="24"/>
          <w:lang w:val="en-US" w:eastAsia="zh-CN"/>
        </w:rPr>
        <w:t>付</w:t>
      </w:r>
      <w:r>
        <w:rPr>
          <w:rFonts w:hint="eastAsia" w:ascii="宋体" w:hAnsi="宋体" w:eastAsia="宋体" w:cs="宋体"/>
          <w:color w:val="auto"/>
          <w:sz w:val="24"/>
          <w:szCs w:val="24"/>
        </w:rPr>
        <w:t>款</w:t>
      </w:r>
      <w:r>
        <w:rPr>
          <w:rFonts w:hint="eastAsia" w:ascii="宋体" w:hAnsi="宋体" w:eastAsia="宋体" w:cs="宋体"/>
          <w:color w:val="auto"/>
          <w:sz w:val="24"/>
          <w:szCs w:val="24"/>
          <w:lang w:val="en-US" w:eastAsia="zh-CN"/>
        </w:rPr>
        <w:t>项。</w:t>
      </w:r>
      <w:r>
        <w:rPr>
          <w:rFonts w:hint="eastAsia" w:ascii="宋体" w:hAnsi="宋体" w:eastAsia="宋体" w:cs="宋体"/>
          <w:color w:val="auto"/>
          <w:sz w:val="24"/>
          <w:szCs w:val="24"/>
        </w:rPr>
        <w:t>成交供应商应在我院支付经费之前提供有效的票据，且成交供应商严格按照我院要求和格式提交相关资料，否则我院有权拒绝支付相关费用。</w:t>
      </w:r>
    </w:p>
    <w:p w14:paraId="4FFA641A">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7884C4C4">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4</w:t>
      </w:r>
      <w:r>
        <w:rPr>
          <w:rFonts w:hint="eastAsia" w:ascii="宋体" w:hAnsi="宋体" w:cs="宋体"/>
          <w:color w:val="auto"/>
          <w:sz w:val="24"/>
          <w:szCs w:val="24"/>
        </w:rPr>
        <w:t>月</w:t>
      </w:r>
      <w:r>
        <w:rPr>
          <w:rFonts w:hint="eastAsia" w:ascii="宋体" w:hAnsi="宋体" w:cs="宋体"/>
          <w:color w:val="auto"/>
          <w:sz w:val="24"/>
          <w:szCs w:val="24"/>
          <w:lang w:val="en-US" w:eastAsia="zh-CN"/>
        </w:rPr>
        <w:t>3</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774B7D7A">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45D57335">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74B10CFB">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70099F35">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42FC21D1">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2289939">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F1BE597">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F439FDB">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49B6F96">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7B925077">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D0392F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641A3A34">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28748FE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59721D67">
      <w:pPr>
        <w:rPr>
          <w:rFonts w:hint="eastAsia"/>
          <w:color w:val="auto"/>
        </w:rPr>
      </w:pPr>
    </w:p>
    <w:p w14:paraId="3775AFB7">
      <w:pPr>
        <w:rPr>
          <w:rFonts w:hint="eastAsia"/>
          <w:color w:val="auto"/>
        </w:rPr>
      </w:pPr>
    </w:p>
    <w:p w14:paraId="3EBD0601">
      <w:pPr>
        <w:rPr>
          <w:rFonts w:hint="eastAsia"/>
          <w:color w:val="auto"/>
        </w:rPr>
      </w:pPr>
    </w:p>
    <w:p w14:paraId="78997E9A">
      <w:pPr>
        <w:rPr>
          <w:rFonts w:hint="eastAsia"/>
          <w:color w:val="auto"/>
        </w:rPr>
      </w:pPr>
    </w:p>
    <w:p w14:paraId="7684B104">
      <w:pPr>
        <w:rPr>
          <w:rFonts w:hint="eastAsia"/>
          <w:color w:val="auto"/>
        </w:rPr>
      </w:pPr>
    </w:p>
    <w:p w14:paraId="56544617">
      <w:pPr>
        <w:rPr>
          <w:rFonts w:hint="eastAsia"/>
          <w:color w:val="auto"/>
        </w:rPr>
      </w:pPr>
    </w:p>
    <w:p w14:paraId="3F1CA16F">
      <w:pPr>
        <w:rPr>
          <w:rFonts w:hint="eastAsia"/>
          <w:color w:val="auto"/>
        </w:rPr>
      </w:pPr>
    </w:p>
    <w:p w14:paraId="48E9A910">
      <w:pPr>
        <w:rPr>
          <w:rFonts w:hint="eastAsia"/>
          <w:color w:val="auto"/>
        </w:rPr>
      </w:pPr>
    </w:p>
    <w:p w14:paraId="33B033E3">
      <w:pPr>
        <w:rPr>
          <w:rFonts w:hint="eastAsia"/>
          <w:color w:val="auto"/>
        </w:rPr>
      </w:pPr>
    </w:p>
    <w:p w14:paraId="1DF83E7F">
      <w:pPr>
        <w:rPr>
          <w:rFonts w:hint="eastAsia"/>
          <w:color w:val="auto"/>
        </w:rPr>
      </w:pPr>
    </w:p>
    <w:p w14:paraId="458E570C">
      <w:pPr>
        <w:rPr>
          <w:rFonts w:hint="eastAsia"/>
          <w:color w:val="auto"/>
        </w:rPr>
      </w:pPr>
    </w:p>
    <w:p w14:paraId="398D1F49">
      <w:pPr>
        <w:rPr>
          <w:rFonts w:hint="eastAsia"/>
          <w:color w:val="auto"/>
        </w:rPr>
      </w:pPr>
    </w:p>
    <w:p w14:paraId="3BD4696E">
      <w:pPr>
        <w:rPr>
          <w:rFonts w:hint="eastAsia"/>
          <w:color w:val="auto"/>
        </w:rPr>
      </w:pPr>
    </w:p>
    <w:p w14:paraId="4BBFDD7A">
      <w:pPr>
        <w:rPr>
          <w:rFonts w:hint="eastAsia"/>
          <w:color w:val="auto"/>
        </w:rPr>
      </w:pPr>
    </w:p>
    <w:p w14:paraId="5030B1EE">
      <w:pPr>
        <w:rPr>
          <w:rFonts w:hint="eastAsia"/>
          <w:color w:val="auto"/>
        </w:rPr>
      </w:pPr>
    </w:p>
    <w:p w14:paraId="40993534">
      <w:pPr>
        <w:rPr>
          <w:rFonts w:hint="eastAsia"/>
          <w:color w:val="auto"/>
        </w:rPr>
      </w:pPr>
    </w:p>
    <w:p w14:paraId="379789F9">
      <w:pPr>
        <w:rPr>
          <w:color w:val="auto"/>
        </w:rPr>
      </w:pPr>
      <w:r>
        <w:rPr>
          <w:rFonts w:hint="eastAsia"/>
          <w:color w:val="auto"/>
        </w:rPr>
        <w:t>附件</w:t>
      </w:r>
    </w:p>
    <w:p w14:paraId="714B7598">
      <w:pPr>
        <w:pStyle w:val="10"/>
        <w:rPr>
          <w:color w:val="auto"/>
        </w:rPr>
      </w:pPr>
    </w:p>
    <w:p w14:paraId="6123958C">
      <w:pPr>
        <w:spacing w:line="400" w:lineRule="exact"/>
        <w:rPr>
          <w:rFonts w:ascii="宋体" w:hAnsi="宋体" w:cs="宋体"/>
          <w:b/>
          <w:bCs/>
          <w:color w:val="auto"/>
          <w:sz w:val="24"/>
          <w:szCs w:val="24"/>
        </w:rPr>
      </w:pPr>
    </w:p>
    <w:p w14:paraId="0F8EC751">
      <w:pPr>
        <w:spacing w:line="400" w:lineRule="exact"/>
        <w:ind w:firstLine="482" w:firstLineChars="200"/>
        <w:rPr>
          <w:rFonts w:ascii="宋体" w:hAnsi="宋体" w:cs="宋体"/>
          <w:b/>
          <w:bCs/>
          <w:color w:val="auto"/>
          <w:sz w:val="24"/>
          <w:szCs w:val="24"/>
        </w:rPr>
      </w:pPr>
    </w:p>
    <w:p w14:paraId="30203931">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A286F11">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551D5C05">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14:paraId="2DACA667">
      <w:pPr>
        <w:tabs>
          <w:tab w:val="left" w:pos="6300"/>
        </w:tabs>
        <w:snapToGrid w:val="0"/>
        <w:spacing w:line="360" w:lineRule="auto"/>
        <w:ind w:left="478" w:leftChars="85" w:hanging="240" w:hangingChars="100"/>
        <w:rPr>
          <w:rFonts w:hint="default" w:ascii="宋体" w:hAnsi="宋体" w:eastAsia="宋体" w:cs="宋体"/>
          <w:color w:val="auto"/>
          <w:sz w:val="24"/>
          <w:szCs w:val="24"/>
          <w:lang w:val="en-US" w:eastAsia="zh-CN"/>
        </w:rPr>
      </w:pPr>
      <w:r>
        <w:rPr>
          <w:rFonts w:hint="eastAsia" w:ascii="宋体" w:hAnsi="宋体" w:cs="宋体"/>
          <w:color w:val="auto"/>
          <w:sz w:val="24"/>
          <w:szCs w:val="24"/>
        </w:rPr>
        <w:t>1.愿意按照询价文件中的一切要求，提供本项目的服务，认可专家审稿费标准</w:t>
      </w:r>
      <w:r>
        <w:rPr>
          <w:rFonts w:hint="eastAsia" w:ascii="宋体" w:hAnsi="宋体" w:cs="宋体"/>
          <w:color w:val="auto"/>
          <w:sz w:val="24"/>
          <w:szCs w:val="24"/>
          <w:lang w:eastAsia="zh-CN"/>
        </w:rPr>
        <w:t>，</w:t>
      </w:r>
      <w:r>
        <w:rPr>
          <w:rFonts w:hint="eastAsia" w:ascii="宋体" w:hAnsi="宋体" w:cs="宋体"/>
          <w:color w:val="auto"/>
          <w:sz w:val="24"/>
          <w:szCs w:val="24"/>
        </w:rPr>
        <w:t>最终</w:t>
      </w:r>
      <w:r>
        <w:rPr>
          <w:rFonts w:hint="eastAsia" w:ascii="宋体" w:hAnsi="宋体" w:cs="宋体"/>
          <w:color w:val="auto"/>
          <w:sz w:val="24"/>
          <w:szCs w:val="24"/>
          <w:lang w:val="en-US" w:eastAsia="zh-CN"/>
        </w:rPr>
        <w:t>报价管理费费率为：</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 xml:space="preserve"> %，大写：百分之</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 xml:space="preserve"> 。      </w:t>
      </w:r>
    </w:p>
    <w:p w14:paraId="4581F4FD">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1D81CEBA">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49F01038">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7B7DBFB8">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1659B854">
      <w:pPr>
        <w:tabs>
          <w:tab w:val="left" w:pos="6300"/>
        </w:tabs>
        <w:snapToGrid w:val="0"/>
        <w:spacing w:line="360" w:lineRule="auto"/>
        <w:ind w:firstLine="240" w:firstLineChars="100"/>
        <w:rPr>
          <w:rFonts w:ascii="宋体" w:hAnsi="宋体" w:cs="宋体"/>
          <w:color w:val="auto"/>
          <w:sz w:val="24"/>
          <w:szCs w:val="24"/>
        </w:rPr>
      </w:pPr>
    </w:p>
    <w:p w14:paraId="75BBCE82">
      <w:pPr>
        <w:tabs>
          <w:tab w:val="left" w:pos="6300"/>
        </w:tabs>
        <w:snapToGrid w:val="0"/>
        <w:spacing w:line="360" w:lineRule="auto"/>
        <w:ind w:firstLine="570"/>
        <w:rPr>
          <w:rFonts w:ascii="宋体" w:hAnsi="宋体" w:cs="宋体"/>
          <w:color w:val="auto"/>
          <w:sz w:val="24"/>
          <w:szCs w:val="24"/>
        </w:rPr>
      </w:pPr>
    </w:p>
    <w:p w14:paraId="130BF93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4E9BBBD8">
      <w:pPr>
        <w:pStyle w:val="10"/>
        <w:ind w:firstLine="480" w:firstLineChars="200"/>
        <w:rPr>
          <w:rFonts w:eastAsia="宋体"/>
          <w:color w:val="auto"/>
        </w:rPr>
      </w:pPr>
      <w:r>
        <w:rPr>
          <w:rFonts w:hint="eastAsia" w:eastAsia="宋体" w:cs="宋体"/>
          <w:color w:val="auto"/>
          <w:szCs w:val="24"/>
        </w:rPr>
        <w:t>法定代表人（签字）：</w:t>
      </w:r>
    </w:p>
    <w:p w14:paraId="20807400">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3AB9E63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5D1C0A7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7B4367E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2EB4BBF1">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2B13FF15">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0F3D15D-B784-484C-B415-63A609ACC29D}"/>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ADDDBFDE-755E-40B7-8F7E-05B9C999683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0E903197"/>
    <w:rsid w:val="10E540B1"/>
    <w:rsid w:val="11A42886"/>
    <w:rsid w:val="13E54B72"/>
    <w:rsid w:val="181B0BD3"/>
    <w:rsid w:val="1CFC5477"/>
    <w:rsid w:val="20BF4F49"/>
    <w:rsid w:val="25662D57"/>
    <w:rsid w:val="25981347"/>
    <w:rsid w:val="27321A96"/>
    <w:rsid w:val="28D11CDD"/>
    <w:rsid w:val="2BBF5B57"/>
    <w:rsid w:val="2C482A44"/>
    <w:rsid w:val="2C964A81"/>
    <w:rsid w:val="2D254ACB"/>
    <w:rsid w:val="2EC211EA"/>
    <w:rsid w:val="313227B3"/>
    <w:rsid w:val="347F2794"/>
    <w:rsid w:val="34A62CC8"/>
    <w:rsid w:val="36DD31B3"/>
    <w:rsid w:val="38C16D2D"/>
    <w:rsid w:val="3AA06FEA"/>
    <w:rsid w:val="3AE05CBA"/>
    <w:rsid w:val="41DE4E43"/>
    <w:rsid w:val="44A742AF"/>
    <w:rsid w:val="4763768D"/>
    <w:rsid w:val="4B773D97"/>
    <w:rsid w:val="4E7D5950"/>
    <w:rsid w:val="4FA76912"/>
    <w:rsid w:val="51D5531F"/>
    <w:rsid w:val="52901701"/>
    <w:rsid w:val="530A3D39"/>
    <w:rsid w:val="54FC26B7"/>
    <w:rsid w:val="553D1193"/>
    <w:rsid w:val="59E049F9"/>
    <w:rsid w:val="59ED08EF"/>
    <w:rsid w:val="5EC53368"/>
    <w:rsid w:val="61F061FA"/>
    <w:rsid w:val="63A07F6E"/>
    <w:rsid w:val="6EFC6466"/>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customStyle="1" w:styleId="5">
    <w:name w:val="目录 83"/>
    <w:next w:val="1"/>
    <w:qFormat/>
    <w:uiPriority w:val="0"/>
    <w:pPr>
      <w:wordWrap w:val="0"/>
      <w:ind w:left="2550"/>
      <w:jc w:val="both"/>
    </w:pPr>
    <w:rPr>
      <w:rFonts w:ascii="Times New Roman" w:hAnsi="Times New Roman" w:eastAsia="宋体" w:cs="Times New Roman"/>
      <w:sz w:val="21"/>
      <w:lang w:val="en-US" w:eastAsia="zh-CN" w:bidi="ar-SA"/>
    </w:rPr>
  </w:style>
  <w:style w:type="paragraph" w:styleId="6">
    <w:name w:val="Plain Text"/>
    <w:basedOn w:val="1"/>
    <w:autoRedefine/>
    <w:qFormat/>
    <w:uiPriority w:val="0"/>
    <w:rPr>
      <w:rFonts w:ascii="宋体" w:hAnsi="Courier New"/>
      <w:sz w:val="21"/>
    </w:rPr>
  </w:style>
  <w:style w:type="paragraph" w:styleId="7">
    <w:name w:val="Body Text Indent 2"/>
    <w:basedOn w:val="1"/>
    <w:autoRedefine/>
    <w:qFormat/>
    <w:uiPriority w:val="0"/>
    <w:pPr>
      <w:snapToGrid w:val="0"/>
      <w:spacing w:line="560" w:lineRule="atLeast"/>
      <w:ind w:firstLine="540"/>
    </w:pPr>
  </w:style>
  <w:style w:type="paragraph" w:styleId="8">
    <w:name w:val="footer"/>
    <w:basedOn w:val="1"/>
    <w:link w:val="19"/>
    <w:autoRedefine/>
    <w:qFormat/>
    <w:uiPriority w:val="0"/>
    <w:pPr>
      <w:tabs>
        <w:tab w:val="center" w:pos="4153"/>
        <w:tab w:val="right" w:pos="8306"/>
      </w:tabs>
      <w:snapToGrid w:val="0"/>
      <w:jc w:val="left"/>
    </w:pPr>
    <w:rPr>
      <w:sz w:val="18"/>
      <w:szCs w:val="18"/>
    </w:rPr>
  </w:style>
  <w:style w:type="paragraph" w:styleId="9">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4"/>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autoRedefine/>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9"/>
    <w:autoRedefine/>
    <w:qFormat/>
    <w:uiPriority w:val="0"/>
    <w:rPr>
      <w:kern w:val="2"/>
      <w:sz w:val="18"/>
      <w:szCs w:val="18"/>
    </w:rPr>
  </w:style>
  <w:style w:type="character" w:customStyle="1" w:styleId="19">
    <w:name w:val="页脚 字符"/>
    <w:basedOn w:val="13"/>
    <w:link w:val="8"/>
    <w:autoRedefine/>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2248</Words>
  <Characters>2344</Characters>
  <Lines>16</Lines>
  <Paragraphs>4</Paragraphs>
  <TotalTime>10</TotalTime>
  <ScaleCrop>false</ScaleCrop>
  <LinksUpToDate>false</LinksUpToDate>
  <CharactersWithSpaces>2471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2025-03-28T07:55:42Z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548BAB021C2B4F4B9BC5DB9EA538DE1F_13</vt:lpwstr>
  </property>
  <property fmtid="{D5CDD505-2E9C-101B-9397-08002B2CF9AE}" pid="4" name="KSOTemplateDocerSaveRecord">
    <vt:lpwstr>eyJoZGlkIjoiZDVjNWI3NDVkMWFmZDEwZDc1ZmM4MzZlZTgwMTQ0NTkiLCJ1c2VySWQiOiI2MzM1MjA5MDcifQ==</vt:lpwstr>
  </property>
</Properties>
</file>