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2D224">
      <w:pPr>
        <w:widowControl/>
        <w:shd w:val="clear" w:color="auto" w:fill="FFFFFF"/>
        <w:spacing w:line="500" w:lineRule="exact"/>
        <w:jc w:val="center"/>
        <w:rPr>
          <w:rFonts w:eastAsia="方正仿宋_GBK" w:cs="宋体" w:asciiTheme="minorHAnsi" w:hAnsiTheme="minorHAnsi"/>
          <w:b/>
          <w:bCs/>
          <w:color w:val="auto"/>
          <w:kern w:val="0"/>
          <w:sz w:val="32"/>
          <w:szCs w:val="32"/>
        </w:rPr>
      </w:pPr>
    </w:p>
    <w:p w14:paraId="049E544A">
      <w:pPr>
        <w:widowControl/>
        <w:shd w:val="clear" w:color="auto" w:fill="FFFFFF"/>
        <w:spacing w:line="500" w:lineRule="exact"/>
        <w:rPr>
          <w:rFonts w:ascii="方正仿宋_GBK" w:hAnsi="宋体" w:eastAsia="方正仿宋_GBK" w:cs="宋体"/>
          <w:b/>
          <w:bCs/>
          <w:color w:val="auto"/>
          <w:kern w:val="0"/>
          <w:sz w:val="32"/>
          <w:szCs w:val="32"/>
        </w:rPr>
      </w:pPr>
    </w:p>
    <w:p w14:paraId="791C6AD5">
      <w:pPr>
        <w:widowControl/>
        <w:shd w:val="clear" w:color="auto" w:fill="FFFFFF"/>
        <w:spacing w:line="500" w:lineRule="exact"/>
        <w:jc w:val="center"/>
        <w:rPr>
          <w:rFonts w:ascii="方正仿宋_GBK" w:hAnsi="宋体" w:eastAsia="方正仿宋_GBK" w:cs="宋体"/>
          <w:b/>
          <w:bCs/>
          <w:color w:val="auto"/>
          <w:kern w:val="0"/>
          <w:sz w:val="32"/>
          <w:szCs w:val="32"/>
        </w:rPr>
      </w:pPr>
    </w:p>
    <w:p w14:paraId="39D998C7">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071824D8">
      <w:pPr>
        <w:spacing w:line="700" w:lineRule="exact"/>
        <w:ind w:left="3196" w:leftChars="570" w:hanging="1600" w:hangingChars="500"/>
        <w:rPr>
          <w:rFonts w:ascii="宋体" w:hAnsi="宋体" w:cs="宋体"/>
          <w:color w:val="auto"/>
          <w:sz w:val="32"/>
          <w:szCs w:val="32"/>
        </w:rPr>
      </w:pPr>
    </w:p>
    <w:p w14:paraId="50952333">
      <w:pPr>
        <w:spacing w:line="700" w:lineRule="exact"/>
        <w:ind w:left="3196" w:leftChars="570" w:hanging="1600" w:hangingChars="500"/>
        <w:rPr>
          <w:rFonts w:ascii="宋体" w:hAnsi="宋体" w:cs="宋体"/>
          <w:color w:val="auto"/>
          <w:sz w:val="32"/>
          <w:szCs w:val="32"/>
        </w:rPr>
      </w:pPr>
    </w:p>
    <w:p w14:paraId="73EE1A7D">
      <w:pPr>
        <w:spacing w:line="700" w:lineRule="exact"/>
        <w:ind w:left="3196" w:leftChars="570" w:hanging="1600" w:hangingChars="500"/>
        <w:rPr>
          <w:rFonts w:ascii="宋体" w:hAnsi="宋体" w:cs="宋体"/>
          <w:color w:val="auto"/>
          <w:sz w:val="32"/>
          <w:szCs w:val="32"/>
        </w:rPr>
      </w:pPr>
    </w:p>
    <w:p w14:paraId="74F48F9F">
      <w:pPr>
        <w:spacing w:line="700" w:lineRule="exact"/>
        <w:ind w:left="3196" w:leftChars="570" w:hanging="1600" w:hangingChars="500"/>
        <w:rPr>
          <w:rFonts w:ascii="宋体" w:hAnsi="宋体" w:cs="宋体"/>
          <w:color w:val="auto"/>
          <w:sz w:val="32"/>
          <w:szCs w:val="32"/>
        </w:rPr>
      </w:pPr>
    </w:p>
    <w:p w14:paraId="021377A8">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重庆市涪江流域（潼南段）阶地调查</w:t>
      </w:r>
    </w:p>
    <w:p w14:paraId="42D1F443">
      <w:pPr>
        <w:widowControl/>
        <w:shd w:val="clear" w:color="auto" w:fill="FFFFFF"/>
        <w:spacing w:line="500" w:lineRule="exact"/>
        <w:jc w:val="center"/>
        <w:rPr>
          <w:rFonts w:ascii="宋体" w:hAnsi="宋体" w:cs="宋体"/>
          <w:b/>
          <w:bCs/>
          <w:color w:val="auto"/>
          <w:kern w:val="0"/>
          <w:sz w:val="40"/>
          <w:szCs w:val="40"/>
        </w:rPr>
      </w:pPr>
    </w:p>
    <w:p w14:paraId="3FF1ACE7">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014F3268">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45A42070">
      <w:pPr>
        <w:widowControl/>
        <w:shd w:val="clear" w:color="auto" w:fill="FFFFFF"/>
        <w:spacing w:line="500" w:lineRule="exact"/>
        <w:jc w:val="center"/>
        <w:rPr>
          <w:rFonts w:ascii="宋体" w:hAnsi="宋体" w:cs="宋体"/>
          <w:b/>
          <w:bCs/>
          <w:color w:val="auto"/>
          <w:kern w:val="0"/>
          <w:sz w:val="32"/>
          <w:szCs w:val="32"/>
        </w:rPr>
      </w:pPr>
    </w:p>
    <w:p w14:paraId="2894E337">
      <w:pPr>
        <w:widowControl/>
        <w:shd w:val="clear" w:color="auto" w:fill="FFFFFF"/>
        <w:spacing w:line="500" w:lineRule="exact"/>
        <w:jc w:val="center"/>
        <w:rPr>
          <w:rFonts w:ascii="宋体" w:hAnsi="宋体" w:cs="宋体"/>
          <w:b/>
          <w:bCs/>
          <w:color w:val="auto"/>
          <w:kern w:val="0"/>
          <w:sz w:val="32"/>
          <w:szCs w:val="32"/>
        </w:rPr>
      </w:pPr>
    </w:p>
    <w:p w14:paraId="32C27B0E">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五</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四</w:t>
      </w:r>
      <w:r>
        <w:rPr>
          <w:rFonts w:hint="eastAsia" w:ascii="宋体" w:hAnsi="宋体" w:cs="宋体"/>
          <w:b/>
          <w:bCs/>
          <w:color w:val="auto"/>
          <w:kern w:val="0"/>
          <w:sz w:val="32"/>
          <w:szCs w:val="32"/>
        </w:rPr>
        <w:t>月</w:t>
      </w:r>
    </w:p>
    <w:p w14:paraId="6EF37D16">
      <w:pPr>
        <w:widowControl/>
        <w:shd w:val="clear" w:color="auto" w:fill="FFFFFF"/>
        <w:spacing w:line="500" w:lineRule="exact"/>
        <w:jc w:val="center"/>
        <w:rPr>
          <w:rFonts w:ascii="宋体" w:hAnsi="宋体" w:cs="宋体"/>
          <w:b/>
          <w:bCs/>
          <w:color w:val="auto"/>
          <w:kern w:val="0"/>
          <w:sz w:val="32"/>
          <w:szCs w:val="32"/>
        </w:rPr>
      </w:pPr>
    </w:p>
    <w:p w14:paraId="388666D7">
      <w:pPr>
        <w:widowControl/>
        <w:shd w:val="clear" w:color="auto" w:fill="FFFFFF"/>
        <w:spacing w:line="500" w:lineRule="exact"/>
        <w:jc w:val="center"/>
        <w:rPr>
          <w:rFonts w:ascii="宋体" w:hAnsi="宋体" w:cs="宋体"/>
          <w:b/>
          <w:bCs/>
          <w:color w:val="auto"/>
          <w:kern w:val="0"/>
          <w:sz w:val="32"/>
          <w:szCs w:val="32"/>
        </w:rPr>
      </w:pPr>
    </w:p>
    <w:p w14:paraId="50A54A98">
      <w:pPr>
        <w:widowControl/>
        <w:shd w:val="clear" w:color="auto" w:fill="FFFFFF"/>
        <w:spacing w:line="500" w:lineRule="exact"/>
        <w:jc w:val="center"/>
        <w:rPr>
          <w:rFonts w:ascii="宋体" w:hAnsi="宋体" w:cs="宋体"/>
          <w:b/>
          <w:bCs/>
          <w:color w:val="auto"/>
          <w:kern w:val="0"/>
          <w:sz w:val="32"/>
          <w:szCs w:val="32"/>
        </w:rPr>
      </w:pPr>
    </w:p>
    <w:p w14:paraId="220D3DEB">
      <w:pPr>
        <w:widowControl/>
        <w:shd w:val="clear" w:color="auto" w:fill="FFFFFF"/>
        <w:spacing w:line="500" w:lineRule="exact"/>
        <w:jc w:val="center"/>
        <w:rPr>
          <w:rFonts w:ascii="宋体" w:hAnsi="宋体" w:cs="宋体"/>
          <w:b/>
          <w:bCs/>
          <w:color w:val="auto"/>
          <w:kern w:val="0"/>
          <w:sz w:val="32"/>
          <w:szCs w:val="32"/>
        </w:rPr>
      </w:pPr>
    </w:p>
    <w:p w14:paraId="3555F056">
      <w:pPr>
        <w:pStyle w:val="15"/>
        <w:rPr>
          <w:color w:val="auto"/>
        </w:rPr>
      </w:pPr>
    </w:p>
    <w:p w14:paraId="5DACA5E5">
      <w:pPr>
        <w:rPr>
          <w:color w:val="auto"/>
        </w:rPr>
      </w:pPr>
    </w:p>
    <w:p w14:paraId="5EF0E434">
      <w:pPr>
        <w:widowControl/>
        <w:shd w:val="clear" w:color="auto" w:fill="FFFFFF"/>
        <w:spacing w:line="500" w:lineRule="exact"/>
        <w:jc w:val="center"/>
        <w:rPr>
          <w:rFonts w:ascii="宋体" w:hAnsi="宋体" w:cs="宋体"/>
          <w:b/>
          <w:bCs/>
          <w:color w:val="auto"/>
          <w:kern w:val="0"/>
          <w:sz w:val="32"/>
          <w:szCs w:val="32"/>
        </w:rPr>
      </w:pPr>
    </w:p>
    <w:p w14:paraId="7E6A4E72">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75B7F0DC">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316B9A1F">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重庆市涪江流域（潼南段）阶地调查是我院配合第四次全国文物普查开展的三江流域旧石器考古专项调查项目内容，由我院承担三江流域旧石器考古专项调查，并完成专项调查工作报告。拟招合作完成该项目。</w:t>
      </w:r>
    </w:p>
    <w:p w14:paraId="69CF8EB9">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69B82D03">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33000</w:t>
      </w:r>
      <w:r>
        <w:rPr>
          <w:rFonts w:hint="eastAsia" w:ascii="宋体" w:hAnsi="宋体" w:cs="宋体"/>
          <w:color w:val="auto"/>
          <w:kern w:val="0"/>
          <w:sz w:val="24"/>
          <w:szCs w:val="24"/>
        </w:rPr>
        <w:t>元，大写：</w:t>
      </w:r>
      <w:r>
        <w:rPr>
          <w:rFonts w:hint="eastAsia" w:ascii="宋体" w:hAnsi="宋体" w:cs="宋体"/>
          <w:color w:val="auto"/>
          <w:kern w:val="0"/>
          <w:sz w:val="24"/>
          <w:szCs w:val="24"/>
          <w:lang w:eastAsia="zh-CN"/>
        </w:rPr>
        <w:t>叁万叁仟</w:t>
      </w:r>
      <w:r>
        <w:rPr>
          <w:rFonts w:hint="eastAsia" w:ascii="宋体" w:hAnsi="宋体" w:cs="宋体"/>
          <w:color w:val="auto"/>
          <w:kern w:val="0"/>
          <w:sz w:val="24"/>
          <w:szCs w:val="24"/>
        </w:rPr>
        <w:t>元整。</w:t>
      </w:r>
    </w:p>
    <w:p w14:paraId="31A842BC">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14:paraId="0D5BF43F">
      <w:pPr>
        <w:pStyle w:val="7"/>
        <w:spacing w:line="579"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1</w:t>
      </w:r>
      <w:r>
        <w:rPr>
          <w:rFonts w:hint="eastAsia" w:ascii="宋体" w:hAnsi="宋体" w:eastAsia="宋体" w:cs="宋体"/>
          <w:color w:val="auto"/>
          <w:kern w:val="0"/>
          <w:sz w:val="24"/>
          <w:szCs w:val="24"/>
          <w:lang w:val="en-US" w:eastAsia="zh-CN" w:bidi="ar-SA"/>
        </w:rPr>
        <w:t>、工作内容</w:t>
      </w:r>
    </w:p>
    <w:p w14:paraId="6B5E5525">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w:t>
      </w:r>
      <w:r>
        <w:rPr>
          <w:rFonts w:hint="default" w:ascii="宋体" w:hAnsi="宋体" w:eastAsia="宋体" w:cs="宋体"/>
          <w:color w:val="auto"/>
          <w:kern w:val="0"/>
          <w:sz w:val="24"/>
          <w:szCs w:val="24"/>
          <w:lang w:val="en-US" w:eastAsia="zh-CN" w:bidi="ar-SA"/>
        </w:rPr>
        <w:t xml:space="preserve">阶地级数与形态：划分阶地级次（T1至Tn），分析阶地平面展布、纵向连续性及剖面形态（如阶地面宽度、前缘陡坎高度）。 </w:t>
      </w:r>
    </w:p>
    <w:p w14:paraId="11DD4186">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w:t>
      </w:r>
      <w:r>
        <w:rPr>
          <w:rFonts w:hint="default" w:ascii="宋体" w:hAnsi="宋体" w:eastAsia="宋体" w:cs="宋体"/>
          <w:color w:val="auto"/>
          <w:kern w:val="0"/>
          <w:sz w:val="24"/>
          <w:szCs w:val="24"/>
          <w:lang w:val="en-US" w:eastAsia="zh-CN" w:bidi="ar-SA"/>
        </w:rPr>
        <w:t>标注阶地类型（基座阶地、堆积阶地）</w:t>
      </w:r>
      <w:r>
        <w:rPr>
          <w:rFonts w:hint="eastAsia" w:ascii="宋体" w:hAnsi="宋体" w:eastAsia="宋体" w:cs="宋体"/>
          <w:color w:val="auto"/>
          <w:kern w:val="0"/>
          <w:sz w:val="24"/>
          <w:szCs w:val="24"/>
          <w:lang w:val="en-US" w:eastAsia="zh-CN" w:bidi="ar-SA"/>
        </w:rPr>
        <w:t>。</w:t>
      </w:r>
    </w:p>
    <w:p w14:paraId="2C7006FE">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（3）需与涪江流域</w:t>
      </w:r>
      <w:r>
        <w:rPr>
          <w:rFonts w:hint="eastAsia" w:ascii="宋体" w:hAnsi="宋体" w:eastAsia="宋体" w:cs="宋体"/>
          <w:color w:val="auto"/>
          <w:kern w:val="0"/>
          <w:sz w:val="24"/>
          <w:szCs w:val="24"/>
          <w:lang w:val="en-US" w:eastAsia="zh-CN" w:bidi="ar-SA"/>
        </w:rPr>
        <w:t>（潼南段）</w:t>
      </w:r>
      <w:r>
        <w:rPr>
          <w:rFonts w:hint="eastAsia" w:ascii="宋体" w:hAnsi="宋体" w:cs="宋体"/>
          <w:color w:val="auto"/>
          <w:kern w:val="0"/>
          <w:sz w:val="24"/>
          <w:szCs w:val="24"/>
          <w:lang w:val="en-US" w:eastAsia="zh-CN" w:bidi="ar-SA"/>
        </w:rPr>
        <w:t>旧石器遗址点位对应，明确相关遗址点的阶地级数和阶地类型。</w:t>
      </w:r>
    </w:p>
    <w:p w14:paraId="18BC376D">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（4）调查里程约60公里，调查面积为涪江（潼南段）两岸，各距涪江直线距离5公里阶地范围。</w:t>
      </w:r>
    </w:p>
    <w:p w14:paraId="77DF2AF6">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2、提交成果要求</w:t>
      </w:r>
    </w:p>
    <w:p w14:paraId="0462D4F4">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（1）《重庆市涪江流域（潼南段）阶地调查研究报告》，包含纸质版和电子版各1份。</w:t>
      </w:r>
    </w:p>
    <w:p w14:paraId="70CB2F17">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（2）涪江流域（潼南段）一比五万第四纪地质图1套，包含纸质图纸2份，电子图纸1份。</w:t>
      </w:r>
    </w:p>
    <w:p w14:paraId="27F40868">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397070B6">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786853FD">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036C163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2E8AF9B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4B50CEC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w:t>
      </w:r>
      <w:r>
        <w:rPr>
          <w:rFonts w:hint="eastAsia" w:ascii="宋体" w:hAnsi="宋体" w:cs="宋体"/>
          <w:color w:val="auto"/>
          <w:sz w:val="24"/>
          <w:szCs w:val="24"/>
          <w:lang w:val="en-US" w:eastAsia="zh-CN"/>
        </w:rPr>
        <w:t>违法</w:t>
      </w:r>
      <w:r>
        <w:rPr>
          <w:rFonts w:hint="eastAsia" w:ascii="宋体" w:hAnsi="宋体" w:cs="宋体"/>
          <w:color w:val="auto"/>
          <w:sz w:val="24"/>
          <w:szCs w:val="24"/>
        </w:rPr>
        <w:t>记录；</w:t>
      </w:r>
    </w:p>
    <w:p w14:paraId="7B84191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02FFABA8">
      <w:pPr>
        <w:widowControl/>
        <w:shd w:val="clear" w:color="auto" w:fill="FFFFFF"/>
        <w:spacing w:line="500" w:lineRule="exact"/>
        <w:ind w:firstLine="720" w:firstLineChars="300"/>
        <w:jc w:val="left"/>
        <w:rPr>
          <w:rFonts w:hint="eastAsia" w:ascii="宋体" w:hAnsi="宋体" w:eastAsia="宋体" w:cs="宋体"/>
          <w:color w:val="auto"/>
          <w:sz w:val="24"/>
          <w:szCs w:val="24"/>
          <w:lang w:eastAsia="zh-CN"/>
        </w:rPr>
      </w:pPr>
      <w:r>
        <w:rPr>
          <w:rFonts w:hint="eastAsia" w:ascii="宋体" w:hAnsi="宋体" w:cs="宋体"/>
          <w:color w:val="auto"/>
          <w:sz w:val="24"/>
          <w:szCs w:val="24"/>
        </w:rPr>
        <w:t>7.特定资格条</w:t>
      </w:r>
      <w:r>
        <w:rPr>
          <w:rFonts w:hint="eastAsia" w:ascii="宋体" w:hAnsi="宋体" w:cs="宋体"/>
          <w:color w:val="auto"/>
          <w:sz w:val="24"/>
          <w:szCs w:val="24"/>
          <w:lang w:val="en-US" w:eastAsia="zh-CN"/>
        </w:rPr>
        <w:t>件：</w:t>
      </w:r>
      <w:bookmarkStart w:id="0" w:name="_GoBack"/>
      <w:r>
        <w:rPr>
          <w:rFonts w:hint="eastAsia" w:ascii="宋体" w:hAnsi="宋体" w:cs="宋体"/>
          <w:color w:val="auto"/>
          <w:sz w:val="24"/>
          <w:szCs w:val="24"/>
          <w:lang w:val="en-US" w:eastAsia="zh-CN"/>
        </w:rPr>
        <w:t>经营范围包括区域地质调查、地质调查或测绘。提供营业执照</w:t>
      </w:r>
      <w:r>
        <w:rPr>
          <w:rFonts w:hint="eastAsia" w:ascii="宋体" w:hAnsi="宋体" w:cs="宋体"/>
          <w:color w:val="auto"/>
          <w:sz w:val="24"/>
          <w:szCs w:val="24"/>
          <w:lang w:val="en-US" w:eastAsia="zh-CN"/>
        </w:rPr>
        <w:t>复印件加盖供应商鲜章。</w:t>
      </w:r>
    </w:p>
    <w:bookmarkEnd w:id="0"/>
    <w:p w14:paraId="0587BE7F">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21D767F3">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28A1C542">
      <w:pPr>
        <w:widowControl/>
        <w:shd w:val="clear" w:color="auto" w:fill="FFFFFF"/>
        <w:spacing w:line="500" w:lineRule="exact"/>
        <w:ind w:firstLine="645"/>
        <w:jc w:val="left"/>
        <w:rPr>
          <w:rFonts w:hint="eastAsia" w:ascii="宋体" w:hAnsi="宋体" w:cs="宋体"/>
          <w:color w:val="auto"/>
          <w:sz w:val="24"/>
          <w:szCs w:val="24"/>
          <w:lang w:val="en-US" w:eastAsia="zh-CN"/>
        </w:rPr>
      </w:pPr>
      <w:r>
        <w:rPr>
          <w:rFonts w:hint="eastAsia" w:ascii="宋体" w:hAnsi="宋体" w:cs="宋体"/>
          <w:color w:val="auto"/>
          <w:sz w:val="24"/>
          <w:szCs w:val="24"/>
        </w:rPr>
        <w:t>2025年</w:t>
      </w:r>
      <w:r>
        <w:rPr>
          <w:rFonts w:hint="eastAsia" w:ascii="宋体" w:hAnsi="宋体" w:cs="宋体"/>
          <w:color w:val="auto"/>
          <w:sz w:val="24"/>
          <w:szCs w:val="24"/>
          <w:lang w:val="en-US" w:eastAsia="zh-CN"/>
        </w:rPr>
        <w:t>5</w:t>
      </w:r>
      <w:r>
        <w:rPr>
          <w:rFonts w:hint="eastAsia" w:ascii="宋体" w:hAnsi="宋体" w:cs="宋体"/>
          <w:color w:val="auto"/>
          <w:sz w:val="24"/>
          <w:szCs w:val="24"/>
        </w:rPr>
        <w:t>月</w:t>
      </w:r>
      <w:r>
        <w:rPr>
          <w:rFonts w:hint="eastAsia" w:ascii="宋体" w:hAnsi="宋体" w:cs="宋体"/>
          <w:color w:val="auto"/>
          <w:sz w:val="24"/>
          <w:szCs w:val="24"/>
          <w:lang w:val="en-US" w:eastAsia="zh-CN"/>
        </w:rPr>
        <w:t>31</w:t>
      </w:r>
      <w:r>
        <w:rPr>
          <w:rFonts w:hint="eastAsia" w:ascii="宋体" w:hAnsi="宋体" w:cs="宋体"/>
          <w:color w:val="auto"/>
          <w:sz w:val="24"/>
          <w:szCs w:val="24"/>
        </w:rPr>
        <w:t>日</w:t>
      </w:r>
      <w:r>
        <w:rPr>
          <w:rFonts w:hint="eastAsia" w:ascii="宋体" w:hAnsi="宋体" w:cs="宋体"/>
          <w:color w:val="auto"/>
          <w:sz w:val="24"/>
          <w:szCs w:val="24"/>
          <w:lang w:val="en-US" w:eastAsia="zh-CN"/>
        </w:rPr>
        <w:t>前完成全部工作并经我院验收合格。</w:t>
      </w:r>
    </w:p>
    <w:p w14:paraId="0377C1D1">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559E9F37">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6FD8CD37">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215C71FA">
      <w:pPr>
        <w:widowControl/>
        <w:shd w:val="clear" w:color="auto" w:fill="FFFFFF"/>
        <w:spacing w:line="500" w:lineRule="exact"/>
        <w:ind w:firstLine="720" w:firstLineChars="300"/>
        <w:jc w:val="left"/>
        <w:rPr>
          <w:rFonts w:hint="eastAsia" w:ascii="宋体" w:hAnsi="宋体" w:cs="宋体"/>
          <w:color w:val="auto"/>
          <w:kern w:val="0"/>
          <w:sz w:val="24"/>
          <w:szCs w:val="24"/>
        </w:rPr>
      </w:pPr>
      <w:r>
        <w:rPr>
          <w:rFonts w:hint="eastAsia" w:ascii="宋体" w:hAnsi="宋体" w:cs="宋体"/>
          <w:color w:val="auto"/>
          <w:kern w:val="0"/>
          <w:sz w:val="24"/>
          <w:szCs w:val="24"/>
        </w:rPr>
        <w:t>通过甲方组织的验收。</w:t>
      </w:r>
    </w:p>
    <w:p w14:paraId="6D784934">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39EFCE9B">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6F5A0644">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7E7B5B30">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4F55F2F4">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189F8CFF">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69AC4D3D">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372CEDCB">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0D513BCC">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51F574A8">
      <w:pPr>
        <w:widowControl/>
        <w:spacing w:line="500" w:lineRule="exact"/>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协议签订并收到成交供应商</w:t>
      </w:r>
      <w:r>
        <w:rPr>
          <w:rFonts w:hint="eastAsia" w:ascii="宋体" w:hAnsi="宋体" w:cs="宋体"/>
          <w:color w:val="auto"/>
          <w:kern w:val="2"/>
          <w:sz w:val="24"/>
          <w:szCs w:val="24"/>
          <w:lang w:val="en-US" w:eastAsia="zh-CN" w:bidi="ar-SA"/>
        </w:rPr>
        <w:t>提供的</w:t>
      </w:r>
      <w:r>
        <w:rPr>
          <w:rFonts w:hint="eastAsia" w:ascii="宋体" w:hAnsi="宋体" w:eastAsia="宋体" w:cs="宋体"/>
          <w:color w:val="auto"/>
          <w:kern w:val="2"/>
          <w:sz w:val="24"/>
          <w:szCs w:val="24"/>
          <w:lang w:val="en-US" w:eastAsia="zh-CN" w:bidi="ar-SA"/>
        </w:rPr>
        <w:t>合法有效</w:t>
      </w:r>
      <w:r>
        <w:rPr>
          <w:rFonts w:hint="eastAsia" w:ascii="宋体" w:hAnsi="宋体" w:cs="宋体"/>
          <w:color w:val="auto"/>
          <w:kern w:val="2"/>
          <w:sz w:val="24"/>
          <w:szCs w:val="24"/>
          <w:lang w:val="en-US" w:eastAsia="zh-CN" w:bidi="ar-SA"/>
        </w:rPr>
        <w:t>的</w:t>
      </w:r>
      <w:r>
        <w:rPr>
          <w:rFonts w:hint="eastAsia" w:ascii="宋体" w:hAnsi="宋体" w:eastAsia="宋体" w:cs="宋体"/>
          <w:color w:val="auto"/>
          <w:kern w:val="2"/>
          <w:sz w:val="24"/>
          <w:szCs w:val="24"/>
          <w:lang w:val="en-US" w:eastAsia="zh-CN" w:bidi="ar-SA"/>
        </w:rPr>
        <w:t>正式发票后10个工作日内，</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将</w:t>
      </w:r>
      <w:r>
        <w:rPr>
          <w:rFonts w:hint="eastAsia" w:ascii="宋体" w:hAnsi="宋体" w:cs="宋体"/>
          <w:color w:val="auto"/>
          <w:kern w:val="2"/>
          <w:sz w:val="24"/>
          <w:szCs w:val="24"/>
          <w:lang w:val="en-US" w:eastAsia="zh-CN" w:bidi="ar-SA"/>
        </w:rPr>
        <w:t>支付合同</w:t>
      </w:r>
      <w:r>
        <w:rPr>
          <w:rFonts w:hint="eastAsia" w:ascii="宋体" w:hAnsi="宋体" w:eastAsia="宋体" w:cs="宋体"/>
          <w:color w:val="auto"/>
          <w:kern w:val="2"/>
          <w:sz w:val="24"/>
          <w:szCs w:val="24"/>
          <w:lang w:val="en-US" w:eastAsia="zh-CN" w:bidi="ar-SA"/>
        </w:rPr>
        <w:t>金额的</w:t>
      </w:r>
      <w:r>
        <w:rPr>
          <w:rFonts w:hint="eastAsia" w:ascii="宋体" w:hAnsi="宋体" w:cs="宋体"/>
          <w:color w:val="auto"/>
          <w:kern w:val="2"/>
          <w:sz w:val="24"/>
          <w:szCs w:val="24"/>
          <w:lang w:val="en-US" w:eastAsia="zh-CN" w:bidi="ar-SA"/>
        </w:rPr>
        <w:t>3</w:t>
      </w:r>
      <w:r>
        <w:rPr>
          <w:rFonts w:hint="eastAsia" w:ascii="宋体" w:hAnsi="宋体" w:eastAsia="宋体" w:cs="宋体"/>
          <w:color w:val="auto"/>
          <w:kern w:val="2"/>
          <w:sz w:val="24"/>
          <w:szCs w:val="24"/>
          <w:lang w:val="en-US" w:eastAsia="zh-CN" w:bidi="ar-SA"/>
        </w:rPr>
        <w:t>0％</w:t>
      </w:r>
      <w:r>
        <w:rPr>
          <w:rFonts w:hint="eastAsia" w:ascii="宋体" w:hAnsi="宋体" w:cs="宋体"/>
          <w:color w:val="auto"/>
          <w:kern w:val="2"/>
          <w:sz w:val="24"/>
          <w:szCs w:val="24"/>
          <w:lang w:val="en-US" w:eastAsia="zh-CN" w:bidi="ar-SA"/>
        </w:rPr>
        <w:t>；成交供应商完成全部工作经我院验收合格且收到成交供应商提供的合法有效的正式发票后10个工作日内，我院将支付合同总金额70％。</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14:paraId="297948D3">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1DDF055C">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4</w:t>
      </w:r>
      <w:r>
        <w:rPr>
          <w:rFonts w:hint="eastAsia" w:ascii="宋体" w:hAnsi="宋体" w:cs="宋体"/>
          <w:color w:val="auto"/>
          <w:sz w:val="24"/>
          <w:szCs w:val="24"/>
        </w:rPr>
        <w:t>月</w:t>
      </w:r>
      <w:r>
        <w:rPr>
          <w:rFonts w:hint="eastAsia" w:ascii="宋体" w:hAnsi="宋体" w:cs="宋体"/>
          <w:color w:val="auto"/>
          <w:sz w:val="24"/>
          <w:szCs w:val="24"/>
          <w:lang w:val="en-US" w:eastAsia="zh-CN"/>
        </w:rPr>
        <w:t>17</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63AC6663">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5B603DA6">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076A8AFE">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14:paraId="14C532F9">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1C086064">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37A1947A">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146AC216">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79E864CF">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7BE3C582">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39FC64E">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4FB29242">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11C56689">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12EADD3A">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58CB531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73145BDC">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4519ABFA">
      <w:pPr>
        <w:rPr>
          <w:color w:val="auto"/>
        </w:rPr>
      </w:pPr>
    </w:p>
    <w:p w14:paraId="618E0E51">
      <w:pPr>
        <w:rPr>
          <w:color w:val="auto"/>
        </w:rPr>
      </w:pPr>
    </w:p>
    <w:p w14:paraId="36A2997B">
      <w:pPr>
        <w:rPr>
          <w:color w:val="auto"/>
        </w:rPr>
      </w:pPr>
    </w:p>
    <w:p w14:paraId="0CAB0D71">
      <w:pPr>
        <w:rPr>
          <w:color w:val="auto"/>
        </w:rPr>
      </w:pPr>
    </w:p>
    <w:p w14:paraId="0E86B0A3">
      <w:pPr>
        <w:rPr>
          <w:color w:val="auto"/>
        </w:rPr>
      </w:pPr>
    </w:p>
    <w:p w14:paraId="037F4804">
      <w:pPr>
        <w:rPr>
          <w:color w:val="auto"/>
        </w:rPr>
      </w:pPr>
    </w:p>
    <w:p w14:paraId="712FEECB">
      <w:pPr>
        <w:rPr>
          <w:color w:val="auto"/>
        </w:rPr>
      </w:pPr>
    </w:p>
    <w:p w14:paraId="1913F248">
      <w:pPr>
        <w:rPr>
          <w:color w:val="auto"/>
        </w:rPr>
      </w:pPr>
    </w:p>
    <w:p w14:paraId="55C1EB0B">
      <w:pPr>
        <w:rPr>
          <w:color w:val="auto"/>
        </w:rPr>
      </w:pPr>
    </w:p>
    <w:p w14:paraId="4BA1DC66">
      <w:pPr>
        <w:rPr>
          <w:color w:val="auto"/>
        </w:rPr>
      </w:pPr>
    </w:p>
    <w:p w14:paraId="368C7627">
      <w:pPr>
        <w:rPr>
          <w:color w:val="auto"/>
        </w:rPr>
      </w:pPr>
    </w:p>
    <w:p w14:paraId="3256A63B">
      <w:pPr>
        <w:rPr>
          <w:color w:val="auto"/>
        </w:rPr>
      </w:pPr>
    </w:p>
    <w:p w14:paraId="3929B791">
      <w:pPr>
        <w:rPr>
          <w:color w:val="auto"/>
        </w:rPr>
      </w:pPr>
    </w:p>
    <w:p w14:paraId="5E8C7192">
      <w:pPr>
        <w:rPr>
          <w:color w:val="auto"/>
        </w:rPr>
      </w:pPr>
    </w:p>
    <w:p w14:paraId="6BB0BF43">
      <w:pPr>
        <w:rPr>
          <w:color w:val="auto"/>
        </w:rPr>
      </w:pPr>
      <w:r>
        <w:rPr>
          <w:rFonts w:hint="eastAsia"/>
          <w:color w:val="auto"/>
        </w:rPr>
        <w:t>附件</w:t>
      </w:r>
    </w:p>
    <w:p w14:paraId="153A4AFD">
      <w:pPr>
        <w:pStyle w:val="9"/>
        <w:rPr>
          <w:color w:val="auto"/>
        </w:rPr>
      </w:pPr>
    </w:p>
    <w:p w14:paraId="307CDEDE">
      <w:pPr>
        <w:spacing w:line="400" w:lineRule="exact"/>
        <w:rPr>
          <w:rFonts w:ascii="宋体" w:hAnsi="宋体" w:cs="宋体"/>
          <w:b/>
          <w:bCs/>
          <w:color w:val="auto"/>
          <w:sz w:val="24"/>
          <w:szCs w:val="24"/>
        </w:rPr>
      </w:pPr>
    </w:p>
    <w:p w14:paraId="2B89BD05">
      <w:pPr>
        <w:spacing w:line="400" w:lineRule="exact"/>
        <w:ind w:firstLine="482" w:firstLineChars="200"/>
        <w:rPr>
          <w:rFonts w:ascii="宋体" w:hAnsi="宋体" w:cs="宋体"/>
          <w:b/>
          <w:bCs/>
          <w:color w:val="auto"/>
          <w:sz w:val="24"/>
          <w:szCs w:val="24"/>
        </w:rPr>
      </w:pPr>
    </w:p>
    <w:p w14:paraId="7EE7CB58">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7127B338">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6465B874">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20C364A7">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3A4D3360">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5F1D79D2">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3CE56C2B">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43B66B3C">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29BCB0B9">
      <w:pPr>
        <w:tabs>
          <w:tab w:val="left" w:pos="6300"/>
        </w:tabs>
        <w:snapToGrid w:val="0"/>
        <w:spacing w:line="360" w:lineRule="auto"/>
        <w:ind w:firstLine="240" w:firstLineChars="100"/>
        <w:rPr>
          <w:rFonts w:ascii="宋体" w:hAnsi="宋体" w:cs="宋体"/>
          <w:color w:val="auto"/>
          <w:sz w:val="24"/>
          <w:szCs w:val="24"/>
        </w:rPr>
      </w:pPr>
    </w:p>
    <w:p w14:paraId="76B8E4BC">
      <w:pPr>
        <w:tabs>
          <w:tab w:val="left" w:pos="6300"/>
        </w:tabs>
        <w:snapToGrid w:val="0"/>
        <w:spacing w:line="360" w:lineRule="auto"/>
        <w:ind w:firstLine="570"/>
        <w:rPr>
          <w:rFonts w:ascii="宋体" w:hAnsi="宋体" w:cs="宋体"/>
          <w:color w:val="auto"/>
          <w:sz w:val="24"/>
          <w:szCs w:val="24"/>
        </w:rPr>
      </w:pPr>
    </w:p>
    <w:p w14:paraId="515F9771">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1A836BB3">
      <w:pPr>
        <w:pStyle w:val="9"/>
        <w:ind w:firstLine="480" w:firstLineChars="200"/>
        <w:rPr>
          <w:rFonts w:eastAsia="宋体"/>
          <w:color w:val="auto"/>
        </w:rPr>
      </w:pPr>
      <w:r>
        <w:rPr>
          <w:rFonts w:hint="eastAsia" w:eastAsia="宋体" w:cs="宋体"/>
          <w:color w:val="auto"/>
          <w:szCs w:val="24"/>
        </w:rPr>
        <w:t>法定代表人（签字）：</w:t>
      </w:r>
    </w:p>
    <w:p w14:paraId="7BBFB5C4">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031D3305">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1C7B5067">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637F23A2">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183A2116">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577A0A70">
      <w:pPr>
        <w:rPr>
          <w:color w:val="auto"/>
        </w:rPr>
      </w:pPr>
    </w:p>
    <w:p w14:paraId="0E4F9850">
      <w:pPr>
        <w:rPr>
          <w:color w:val="auto"/>
        </w:rPr>
      </w:pPr>
    </w:p>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380B3D8-63D1-4443-ADF8-48F2DCE84B83}"/>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79908D40-CFE1-475D-9192-26532108EFB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15B69"/>
    <w:rsid w:val="0073688F"/>
    <w:rsid w:val="007369A0"/>
    <w:rsid w:val="00786BF5"/>
    <w:rsid w:val="007C7BC8"/>
    <w:rsid w:val="00A566D5"/>
    <w:rsid w:val="00A87144"/>
    <w:rsid w:val="00AE3302"/>
    <w:rsid w:val="00C11603"/>
    <w:rsid w:val="00D115E7"/>
    <w:rsid w:val="00D119D7"/>
    <w:rsid w:val="00D32689"/>
    <w:rsid w:val="00D70EC2"/>
    <w:rsid w:val="00DA54CF"/>
    <w:rsid w:val="00DA5DAF"/>
    <w:rsid w:val="00E57DE3"/>
    <w:rsid w:val="00F0487F"/>
    <w:rsid w:val="00F4063A"/>
    <w:rsid w:val="00F46C9A"/>
    <w:rsid w:val="01A23986"/>
    <w:rsid w:val="04182746"/>
    <w:rsid w:val="04CA5B10"/>
    <w:rsid w:val="058B3D03"/>
    <w:rsid w:val="0ACD1B3D"/>
    <w:rsid w:val="0ADD3FAE"/>
    <w:rsid w:val="0B122005"/>
    <w:rsid w:val="0CDD2D53"/>
    <w:rsid w:val="102709DB"/>
    <w:rsid w:val="10E540B1"/>
    <w:rsid w:val="181B0BD3"/>
    <w:rsid w:val="18B26DC2"/>
    <w:rsid w:val="1BC3144F"/>
    <w:rsid w:val="25981347"/>
    <w:rsid w:val="27321A96"/>
    <w:rsid w:val="28D11CDD"/>
    <w:rsid w:val="2A6E16CB"/>
    <w:rsid w:val="2BBF5B57"/>
    <w:rsid w:val="2C482A44"/>
    <w:rsid w:val="2C964A81"/>
    <w:rsid w:val="2EC211EA"/>
    <w:rsid w:val="2EC43946"/>
    <w:rsid w:val="30B7271D"/>
    <w:rsid w:val="31850234"/>
    <w:rsid w:val="335D4452"/>
    <w:rsid w:val="347F2794"/>
    <w:rsid w:val="34A62CC8"/>
    <w:rsid w:val="35B844F4"/>
    <w:rsid w:val="3AA06FEA"/>
    <w:rsid w:val="3AE05CBA"/>
    <w:rsid w:val="41DE4E43"/>
    <w:rsid w:val="44A742AF"/>
    <w:rsid w:val="4763768D"/>
    <w:rsid w:val="4E7D5950"/>
    <w:rsid w:val="4E81429B"/>
    <w:rsid w:val="4FA76912"/>
    <w:rsid w:val="51D5531F"/>
    <w:rsid w:val="52901701"/>
    <w:rsid w:val="530A3D39"/>
    <w:rsid w:val="54FC26B7"/>
    <w:rsid w:val="553D1193"/>
    <w:rsid w:val="55C633E6"/>
    <w:rsid w:val="59E049F9"/>
    <w:rsid w:val="59ED08EF"/>
    <w:rsid w:val="5CE943C9"/>
    <w:rsid w:val="5EC53368"/>
    <w:rsid w:val="61F061FA"/>
    <w:rsid w:val="63A07F6E"/>
    <w:rsid w:val="64987E90"/>
    <w:rsid w:val="67104017"/>
    <w:rsid w:val="6A3D1979"/>
    <w:rsid w:val="71272553"/>
    <w:rsid w:val="74BE1CD9"/>
    <w:rsid w:val="75FC6F1D"/>
    <w:rsid w:val="79EC7DDC"/>
    <w:rsid w:val="7ABB2433"/>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1845</Words>
  <Characters>1922</Characters>
  <Lines>16</Lines>
  <Paragraphs>4</Paragraphs>
  <TotalTime>0</TotalTime>
  <ScaleCrop>false</ScaleCrop>
  <LinksUpToDate>false</LinksUpToDate>
  <CharactersWithSpaces>1931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cp:lastPrinted>2025-04-02T04:40:00Z</cp:lastPrinted>
  <dcterms:modified xsi:type="dcterms:W3CDTF">2025-04-14T04:04:22Z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B925DF51E3314CC5BF8F5E21C45E3348_13</vt:lpwstr>
  </property>
  <property fmtid="{D5CDD505-2E9C-101B-9397-08002B2CF9AE}" pid="4" name="KSOTemplateDocerSaveRecord">
    <vt:lpwstr>eyJoZGlkIjoiZDVjNWI3NDVkMWFmZDEwZDc1ZmM4MzZlZTgwMTQ0NTkiLCJ1c2VySWQiOiI2MzM1MjA5MDcifQ==</vt:lpwstr>
  </property>
</Properties>
</file>