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BA7E8">
      <w:pPr>
        <w:widowControl/>
        <w:shd w:val="clear" w:color="auto" w:fill="FFFFFF"/>
        <w:spacing w:line="500" w:lineRule="exact"/>
        <w:jc w:val="center"/>
        <w:rPr>
          <w:rFonts w:eastAsia="方正仿宋_GBK" w:cs="宋体" w:asciiTheme="minorHAnsi" w:hAnsiTheme="minorHAnsi"/>
          <w:b/>
          <w:bCs/>
          <w:color w:val="auto"/>
          <w:kern w:val="0"/>
          <w:sz w:val="32"/>
          <w:szCs w:val="32"/>
          <w:highlight w:val="none"/>
        </w:rPr>
      </w:pPr>
    </w:p>
    <w:p w14:paraId="3A803D62">
      <w:pPr>
        <w:widowControl/>
        <w:shd w:val="clear" w:color="auto" w:fill="FFFFFF"/>
        <w:spacing w:line="500" w:lineRule="exact"/>
        <w:rPr>
          <w:rFonts w:ascii="方正仿宋_GBK" w:hAnsi="宋体" w:eastAsia="方正仿宋_GBK" w:cs="宋体"/>
          <w:b/>
          <w:bCs/>
          <w:color w:val="auto"/>
          <w:kern w:val="0"/>
          <w:sz w:val="32"/>
          <w:szCs w:val="32"/>
          <w:highlight w:val="none"/>
        </w:rPr>
      </w:pPr>
    </w:p>
    <w:p w14:paraId="1867F526">
      <w:pPr>
        <w:widowControl/>
        <w:shd w:val="clear" w:color="auto" w:fill="FFFFFF"/>
        <w:spacing w:line="500" w:lineRule="exact"/>
        <w:jc w:val="center"/>
        <w:rPr>
          <w:rFonts w:ascii="方正仿宋_GBK" w:hAnsi="宋体" w:eastAsia="方正仿宋_GBK" w:cs="宋体"/>
          <w:b/>
          <w:bCs/>
          <w:color w:val="auto"/>
          <w:kern w:val="0"/>
          <w:sz w:val="32"/>
          <w:szCs w:val="32"/>
          <w:highlight w:val="none"/>
        </w:rPr>
      </w:pPr>
    </w:p>
    <w:p w14:paraId="7068CC5A">
      <w:pPr>
        <w:jc w:val="center"/>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lang w:eastAsia="zh-CN"/>
        </w:rPr>
        <w:t>询比</w:t>
      </w:r>
      <w:r>
        <w:rPr>
          <w:rFonts w:hint="eastAsia" w:ascii="宋体" w:hAnsi="宋体" w:cs="宋体"/>
          <w:b/>
          <w:bCs/>
          <w:color w:val="auto"/>
          <w:sz w:val="96"/>
          <w:szCs w:val="56"/>
          <w:highlight w:val="none"/>
        </w:rPr>
        <w:t>文件</w:t>
      </w:r>
    </w:p>
    <w:p w14:paraId="641D7F7A">
      <w:pPr>
        <w:spacing w:line="700" w:lineRule="exact"/>
        <w:ind w:left="3196" w:leftChars="570" w:hanging="1600" w:hangingChars="500"/>
        <w:rPr>
          <w:rFonts w:ascii="宋体" w:hAnsi="宋体" w:cs="宋体"/>
          <w:color w:val="auto"/>
          <w:sz w:val="32"/>
          <w:szCs w:val="32"/>
          <w:highlight w:val="none"/>
        </w:rPr>
      </w:pPr>
    </w:p>
    <w:p w14:paraId="4C977B98">
      <w:pPr>
        <w:spacing w:line="700" w:lineRule="exact"/>
        <w:ind w:left="3196" w:leftChars="570" w:hanging="1600" w:hangingChars="500"/>
        <w:rPr>
          <w:rFonts w:ascii="宋体" w:hAnsi="宋体" w:cs="宋体"/>
          <w:color w:val="auto"/>
          <w:sz w:val="32"/>
          <w:szCs w:val="32"/>
          <w:highlight w:val="none"/>
        </w:rPr>
      </w:pPr>
    </w:p>
    <w:p w14:paraId="63268F1E">
      <w:pPr>
        <w:spacing w:line="700" w:lineRule="exact"/>
        <w:ind w:left="3196" w:leftChars="570" w:hanging="1600" w:hangingChars="500"/>
        <w:rPr>
          <w:rFonts w:ascii="宋体" w:hAnsi="宋体" w:cs="宋体"/>
          <w:color w:val="auto"/>
          <w:sz w:val="32"/>
          <w:szCs w:val="32"/>
          <w:highlight w:val="none"/>
        </w:rPr>
      </w:pPr>
    </w:p>
    <w:p w14:paraId="60D516FF">
      <w:pPr>
        <w:spacing w:line="700" w:lineRule="exact"/>
        <w:ind w:left="3196" w:leftChars="570" w:hanging="1600" w:hangingChars="500"/>
        <w:rPr>
          <w:rFonts w:ascii="宋体" w:hAnsi="宋体" w:cs="宋体"/>
          <w:color w:val="auto"/>
          <w:sz w:val="32"/>
          <w:szCs w:val="32"/>
          <w:highlight w:val="none"/>
        </w:rPr>
      </w:pPr>
    </w:p>
    <w:p w14:paraId="11DE764C">
      <w:pPr>
        <w:widowControl/>
        <w:shd w:val="clear" w:color="auto" w:fill="FFFFFF"/>
        <w:spacing w:line="500" w:lineRule="exact"/>
        <w:ind w:firstLine="803" w:firstLineChars="200"/>
        <w:jc w:val="center"/>
        <w:rPr>
          <w:rFonts w:hint="default" w:ascii="宋体" w:hAnsi="宋体" w:eastAsia="宋体" w:cs="宋体"/>
          <w:b/>
          <w:bCs/>
          <w:color w:val="auto"/>
          <w:kern w:val="0"/>
          <w:sz w:val="40"/>
          <w:szCs w:val="40"/>
          <w:highlight w:val="none"/>
          <w:lang w:val="en-US" w:eastAsia="zh-CN"/>
        </w:rPr>
      </w:pPr>
      <w:r>
        <w:rPr>
          <w:rFonts w:hint="eastAsia" w:ascii="宋体" w:hAnsi="宋体" w:cs="宋体"/>
          <w:b/>
          <w:bCs/>
          <w:color w:val="auto"/>
          <w:kern w:val="0"/>
          <w:sz w:val="40"/>
          <w:szCs w:val="40"/>
          <w:highlight w:val="none"/>
        </w:rPr>
        <w:t>项目名称:</w:t>
      </w:r>
      <w:r>
        <w:rPr>
          <w:rFonts w:hint="eastAsia"/>
          <w:color w:val="auto"/>
          <w:highlight w:val="none"/>
        </w:rPr>
        <w:t xml:space="preserve"> </w:t>
      </w:r>
      <w:r>
        <w:rPr>
          <w:rFonts w:hint="eastAsia" w:ascii="宋体" w:hAnsi="宋体" w:cs="宋体"/>
          <w:b/>
          <w:bCs/>
          <w:color w:val="auto"/>
          <w:kern w:val="0"/>
          <w:sz w:val="40"/>
          <w:szCs w:val="40"/>
          <w:highlight w:val="none"/>
        </w:rPr>
        <w:t>2025年度基本建设考古办公室档案</w:t>
      </w:r>
      <w:r>
        <w:rPr>
          <w:rFonts w:hint="eastAsia" w:ascii="宋体" w:hAnsi="宋体" w:cs="宋体"/>
          <w:b/>
          <w:bCs/>
          <w:color w:val="auto"/>
          <w:kern w:val="0"/>
          <w:sz w:val="40"/>
          <w:szCs w:val="40"/>
          <w:highlight w:val="none"/>
          <w:lang w:val="en-US" w:eastAsia="zh-CN"/>
        </w:rPr>
        <w:t>整理及信息化服务</w:t>
      </w:r>
    </w:p>
    <w:p w14:paraId="4FEB74A8">
      <w:pPr>
        <w:widowControl/>
        <w:shd w:val="clear" w:color="auto" w:fill="FFFFFF"/>
        <w:spacing w:line="500" w:lineRule="exact"/>
        <w:jc w:val="center"/>
        <w:rPr>
          <w:rFonts w:hint="eastAsia" w:ascii="宋体" w:hAnsi="宋体" w:cs="宋体"/>
          <w:b/>
          <w:bCs/>
          <w:color w:val="auto"/>
          <w:kern w:val="0"/>
          <w:sz w:val="40"/>
          <w:szCs w:val="40"/>
          <w:highlight w:val="none"/>
        </w:rPr>
      </w:pPr>
    </w:p>
    <w:p w14:paraId="7B334E3C">
      <w:pPr>
        <w:pStyle w:val="2"/>
        <w:rPr>
          <w:rFonts w:hint="eastAsia" w:ascii="宋体" w:hAnsi="宋体" w:cs="宋体"/>
          <w:b/>
          <w:bCs/>
          <w:color w:val="auto"/>
          <w:kern w:val="0"/>
          <w:sz w:val="40"/>
          <w:szCs w:val="40"/>
          <w:highlight w:val="none"/>
        </w:rPr>
      </w:pPr>
    </w:p>
    <w:p w14:paraId="55FFCE6E">
      <w:pPr>
        <w:rPr>
          <w:rFonts w:hint="eastAsia"/>
        </w:rPr>
      </w:pPr>
    </w:p>
    <w:p w14:paraId="7DA3A363">
      <w:pPr>
        <w:widowControl/>
        <w:shd w:val="clear" w:color="auto" w:fill="FFFFFF"/>
        <w:spacing w:line="500" w:lineRule="exact"/>
        <w:ind w:firstLine="803" w:firstLineChars="200"/>
        <w:jc w:val="center"/>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采购人：重庆市文物考古研究院(重庆文化遗产保护中心)</w:t>
      </w:r>
    </w:p>
    <w:p w14:paraId="58EE6803">
      <w:pPr>
        <w:widowControl/>
        <w:shd w:val="clear" w:color="auto" w:fill="FFFFFF"/>
        <w:spacing w:line="500" w:lineRule="exact"/>
        <w:jc w:val="center"/>
        <w:rPr>
          <w:rFonts w:ascii="宋体" w:hAnsi="宋体" w:cs="宋体"/>
          <w:b/>
          <w:bCs/>
          <w:color w:val="auto"/>
          <w:kern w:val="0"/>
          <w:sz w:val="32"/>
          <w:szCs w:val="32"/>
          <w:highlight w:val="none"/>
        </w:rPr>
      </w:pPr>
    </w:p>
    <w:p w14:paraId="051DBCD7">
      <w:pPr>
        <w:widowControl/>
        <w:shd w:val="clear" w:color="auto" w:fill="FFFFFF"/>
        <w:spacing w:line="500" w:lineRule="exact"/>
        <w:jc w:val="center"/>
        <w:rPr>
          <w:rFonts w:ascii="宋体" w:hAnsi="宋体" w:cs="宋体"/>
          <w:b/>
          <w:bCs/>
          <w:color w:val="auto"/>
          <w:kern w:val="0"/>
          <w:sz w:val="32"/>
          <w:szCs w:val="32"/>
          <w:highlight w:val="none"/>
        </w:rPr>
      </w:pPr>
    </w:p>
    <w:p w14:paraId="27085A05">
      <w:pPr>
        <w:widowControl/>
        <w:shd w:val="clear" w:color="auto" w:fill="FFFFFF"/>
        <w:spacing w:line="500" w:lineRule="exact"/>
        <w:ind w:firstLine="643" w:firstLineChars="200"/>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w:t>
      </w:r>
      <w:r>
        <w:rPr>
          <w:rFonts w:hint="eastAsia" w:ascii="宋体" w:hAnsi="宋体" w:cs="宋体"/>
          <w:b/>
          <w:bCs/>
          <w:color w:val="auto"/>
          <w:kern w:val="0"/>
          <w:sz w:val="32"/>
          <w:szCs w:val="32"/>
          <w:highlight w:val="none"/>
          <w:lang w:val="en-US" w:eastAsia="zh-CN"/>
        </w:rPr>
        <w:t>七</w:t>
      </w:r>
      <w:r>
        <w:rPr>
          <w:rFonts w:hint="eastAsia" w:ascii="宋体" w:hAnsi="宋体" w:cs="宋体"/>
          <w:b/>
          <w:bCs/>
          <w:color w:val="auto"/>
          <w:kern w:val="0"/>
          <w:sz w:val="32"/>
          <w:szCs w:val="32"/>
          <w:highlight w:val="none"/>
        </w:rPr>
        <w:t>月</w:t>
      </w:r>
    </w:p>
    <w:p w14:paraId="4A1BC014">
      <w:pPr>
        <w:widowControl/>
        <w:shd w:val="clear" w:color="auto" w:fill="FFFFFF"/>
        <w:spacing w:line="500" w:lineRule="exact"/>
        <w:jc w:val="center"/>
        <w:rPr>
          <w:rFonts w:ascii="宋体" w:hAnsi="宋体" w:cs="宋体"/>
          <w:b/>
          <w:bCs/>
          <w:color w:val="auto"/>
          <w:kern w:val="0"/>
          <w:sz w:val="32"/>
          <w:szCs w:val="32"/>
          <w:highlight w:val="none"/>
        </w:rPr>
      </w:pPr>
    </w:p>
    <w:p w14:paraId="38B610B7">
      <w:pPr>
        <w:widowControl/>
        <w:shd w:val="clear" w:color="auto" w:fill="FFFFFF"/>
        <w:spacing w:line="500" w:lineRule="exact"/>
        <w:jc w:val="center"/>
        <w:rPr>
          <w:rFonts w:ascii="宋体" w:hAnsi="宋体" w:cs="宋体"/>
          <w:b/>
          <w:bCs/>
          <w:color w:val="auto"/>
          <w:kern w:val="0"/>
          <w:sz w:val="32"/>
          <w:szCs w:val="32"/>
          <w:highlight w:val="none"/>
        </w:rPr>
      </w:pPr>
    </w:p>
    <w:p w14:paraId="5A596379">
      <w:pPr>
        <w:widowControl/>
        <w:shd w:val="clear" w:color="auto" w:fill="FFFFFF"/>
        <w:spacing w:line="500" w:lineRule="exact"/>
        <w:jc w:val="center"/>
        <w:rPr>
          <w:rFonts w:ascii="宋体" w:hAnsi="宋体" w:cs="宋体"/>
          <w:b/>
          <w:bCs/>
          <w:color w:val="auto"/>
          <w:kern w:val="0"/>
          <w:sz w:val="32"/>
          <w:szCs w:val="32"/>
          <w:highlight w:val="none"/>
        </w:rPr>
      </w:pPr>
    </w:p>
    <w:p w14:paraId="749FD4A7">
      <w:pPr>
        <w:widowControl/>
        <w:shd w:val="clear" w:color="auto" w:fill="FFFFFF"/>
        <w:spacing w:line="500" w:lineRule="exact"/>
        <w:jc w:val="center"/>
        <w:rPr>
          <w:rFonts w:ascii="宋体" w:hAnsi="宋体" w:cs="宋体"/>
          <w:b/>
          <w:bCs/>
          <w:color w:val="auto"/>
          <w:kern w:val="0"/>
          <w:sz w:val="32"/>
          <w:szCs w:val="32"/>
          <w:highlight w:val="none"/>
        </w:rPr>
      </w:pPr>
    </w:p>
    <w:p w14:paraId="753F45D7">
      <w:pPr>
        <w:rPr>
          <w:color w:val="auto"/>
          <w:highlight w:val="none"/>
        </w:rPr>
        <w:sectPr>
          <w:pgSz w:w="11906" w:h="16838"/>
          <w:pgMar w:top="1984" w:right="1446" w:bottom="1644" w:left="1446" w:header="851" w:footer="992" w:gutter="0"/>
          <w:cols w:space="425" w:num="1"/>
          <w:docGrid w:type="lines" w:linePitch="312" w:charSpace="0"/>
        </w:sectPr>
      </w:pPr>
    </w:p>
    <w:p w14:paraId="5BB372B5">
      <w:pPr>
        <w:pStyle w:val="2"/>
      </w:pPr>
    </w:p>
    <w:p w14:paraId="47B9AEC2">
      <w:pPr>
        <w:widowControl/>
        <w:shd w:val="clear" w:color="auto" w:fill="FFFFFF"/>
        <w:spacing w:line="500" w:lineRule="exact"/>
        <w:ind w:firstLine="643" w:firstLineChars="200"/>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lang w:eastAsia="zh-CN"/>
        </w:rPr>
        <w:t>询比</w:t>
      </w:r>
      <w:r>
        <w:rPr>
          <w:rFonts w:hint="eastAsia" w:ascii="宋体" w:hAnsi="宋体" w:cs="宋体"/>
          <w:b/>
          <w:bCs/>
          <w:color w:val="auto"/>
          <w:kern w:val="0"/>
          <w:sz w:val="32"/>
          <w:szCs w:val="32"/>
          <w:highlight w:val="none"/>
        </w:rPr>
        <w:t>公告</w:t>
      </w:r>
    </w:p>
    <w:p w14:paraId="1C208ACF">
      <w:pPr>
        <w:pStyle w:val="22"/>
        <w:widowControl/>
        <w:numPr>
          <w:ilvl w:val="0"/>
          <w:numId w:val="0"/>
        </w:numPr>
        <w:shd w:val="clear" w:color="auto" w:fill="FFFFFF"/>
        <w:spacing w:line="500" w:lineRule="exact"/>
        <w:ind w:left="1202" w:leftChars="0" w:firstLine="480" w:firstLineChars="200"/>
        <w:jc w:val="left"/>
        <w:rPr>
          <w:rFonts w:ascii="宋体" w:hAnsi="宋体" w:cs="宋体"/>
          <w:color w:val="auto"/>
          <w:kern w:val="0"/>
          <w:sz w:val="24"/>
          <w:szCs w:val="24"/>
          <w:highlight w:val="none"/>
        </w:rPr>
      </w:pPr>
      <w:r>
        <w:rPr>
          <w:rFonts w:hint="default" w:ascii="宋体" w:hAnsi="宋体" w:eastAsia="宋体" w:cs="宋体"/>
          <w:color w:val="auto"/>
          <w:kern w:val="0"/>
          <w:sz w:val="24"/>
          <w:szCs w:val="24"/>
          <w:highlight w:val="none"/>
          <w:lang w:val="en-US" w:eastAsia="zh-CN" w:bidi="ar-SA"/>
        </w:rPr>
        <w:t>一、</w:t>
      </w:r>
      <w:r>
        <w:rPr>
          <w:rFonts w:hint="eastAsia" w:ascii="宋体" w:hAnsi="宋体" w:cs="宋体"/>
          <w:b/>
          <w:bCs/>
          <w:color w:val="auto"/>
          <w:kern w:val="0"/>
          <w:sz w:val="24"/>
          <w:szCs w:val="24"/>
          <w:highlight w:val="none"/>
        </w:rPr>
        <w:t>服务内容</w:t>
      </w:r>
    </w:p>
    <w:p w14:paraId="552CED5B">
      <w:pPr>
        <w:pStyle w:val="22"/>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基本建设考古办公室合同档案整理：</w:t>
      </w:r>
      <w:r>
        <w:rPr>
          <w:rFonts w:hint="eastAsia" w:ascii="宋体" w:hAnsi="宋体" w:cs="宋体"/>
          <w:color w:val="auto"/>
          <w:kern w:val="0"/>
          <w:sz w:val="24"/>
          <w:szCs w:val="24"/>
          <w:highlight w:val="none"/>
        </w:rPr>
        <w:t>约</w:t>
      </w:r>
      <w:r>
        <w:rPr>
          <w:rFonts w:hint="eastAsia" w:ascii="宋体" w:hAnsi="宋体" w:cs="宋体"/>
          <w:color w:val="auto"/>
          <w:kern w:val="0"/>
          <w:sz w:val="24"/>
          <w:szCs w:val="24"/>
          <w:highlight w:val="none"/>
          <w:lang w:val="en-US" w:eastAsia="zh-CN"/>
        </w:rPr>
        <w:t>690</w:t>
      </w:r>
      <w:r>
        <w:rPr>
          <w:rFonts w:hint="eastAsia" w:ascii="宋体" w:hAnsi="宋体" w:cs="宋体"/>
          <w:color w:val="auto"/>
          <w:kern w:val="0"/>
          <w:sz w:val="24"/>
          <w:szCs w:val="24"/>
          <w:highlight w:val="none"/>
        </w:rPr>
        <w:t>件</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其中</w:t>
      </w:r>
      <w:r>
        <w:rPr>
          <w:rFonts w:hint="eastAsia" w:ascii="宋体" w:hAnsi="宋体" w:cs="宋体"/>
          <w:color w:val="auto"/>
          <w:kern w:val="0"/>
          <w:sz w:val="24"/>
          <w:szCs w:val="24"/>
          <w:highlight w:val="none"/>
        </w:rPr>
        <w:t>202</w:t>
      </w: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rPr>
        <w:t>年度</w:t>
      </w:r>
      <w:r>
        <w:rPr>
          <w:rFonts w:hint="eastAsia" w:ascii="宋体" w:hAnsi="宋体" w:cs="宋体"/>
          <w:color w:val="auto"/>
          <w:kern w:val="0"/>
          <w:sz w:val="24"/>
          <w:szCs w:val="24"/>
          <w:highlight w:val="none"/>
          <w:lang w:val="en-US" w:eastAsia="zh-CN"/>
        </w:rPr>
        <w:t>合同约430件，2006年至2024年协作合同约260件）</w:t>
      </w:r>
      <w:r>
        <w:rPr>
          <w:rFonts w:hint="eastAsia" w:ascii="宋体" w:hAnsi="宋体" w:cs="宋体"/>
          <w:color w:val="auto"/>
          <w:kern w:val="0"/>
          <w:sz w:val="24"/>
          <w:szCs w:val="24"/>
          <w:highlight w:val="none"/>
        </w:rPr>
        <w:t>。招标项目资料</w:t>
      </w:r>
      <w:r>
        <w:rPr>
          <w:rFonts w:hint="eastAsia" w:ascii="宋体" w:hAnsi="宋体" w:cs="宋体"/>
          <w:color w:val="auto"/>
          <w:kern w:val="0"/>
          <w:sz w:val="24"/>
          <w:szCs w:val="24"/>
          <w:highlight w:val="none"/>
        </w:rPr>
        <w:t>约</w:t>
      </w:r>
      <w:r>
        <w:rPr>
          <w:rFonts w:hint="eastAsia" w:ascii="宋体" w:hAnsi="宋体" w:cs="宋体"/>
          <w:color w:val="auto"/>
          <w:kern w:val="0"/>
          <w:sz w:val="24"/>
          <w:szCs w:val="24"/>
          <w:highlight w:val="none"/>
          <w:lang w:val="en-US" w:eastAsia="zh-CN"/>
        </w:rPr>
        <w:t>70</w:t>
      </w:r>
      <w:r>
        <w:rPr>
          <w:rFonts w:hint="eastAsia" w:ascii="宋体" w:hAnsi="宋体" w:cs="宋体"/>
          <w:color w:val="auto"/>
          <w:kern w:val="0"/>
          <w:sz w:val="24"/>
          <w:szCs w:val="24"/>
          <w:highlight w:val="none"/>
        </w:rPr>
        <w:t>个</w:t>
      </w:r>
      <w:r>
        <w:rPr>
          <w:rFonts w:hint="eastAsia" w:ascii="宋体" w:hAnsi="宋体" w:cs="宋体"/>
          <w:color w:val="auto"/>
          <w:kern w:val="0"/>
          <w:sz w:val="24"/>
          <w:szCs w:val="24"/>
          <w:highlight w:val="none"/>
        </w:rPr>
        <w:t>，</w:t>
      </w:r>
      <w:r>
        <w:rPr>
          <w:rFonts w:hint="eastAsia" w:ascii="宋体" w:hAnsi="宋体" w:cs="宋体"/>
          <w:color w:val="auto"/>
          <w:kern w:val="0"/>
          <w:sz w:val="24"/>
          <w:szCs w:val="24"/>
          <w:highlight w:val="none"/>
          <w:lang w:val="en-US" w:eastAsia="zh-CN"/>
        </w:rPr>
        <w:t>档案信息化录入约</w:t>
      </w:r>
      <w:r>
        <w:rPr>
          <w:rFonts w:hint="eastAsia" w:ascii="宋体" w:hAnsi="宋体" w:cs="宋体"/>
          <w:color w:val="auto"/>
          <w:kern w:val="0"/>
          <w:sz w:val="24"/>
          <w:szCs w:val="24"/>
          <w:highlight w:val="none"/>
          <w:lang w:val="en-US" w:eastAsia="zh-CN"/>
        </w:rPr>
        <w:t>70件</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和对基本建设考古办公室2024年以前档案整理及信息化遗漏的档案约</w:t>
      </w:r>
      <w:r>
        <w:rPr>
          <w:rFonts w:hint="eastAsia" w:ascii="宋体" w:hAnsi="宋体" w:cs="宋体"/>
          <w:color w:val="auto"/>
          <w:kern w:val="0"/>
          <w:sz w:val="24"/>
          <w:szCs w:val="24"/>
          <w:highlight w:val="none"/>
          <w:lang w:val="en-US" w:eastAsia="zh-CN"/>
        </w:rPr>
        <w:t>50件</w:t>
      </w:r>
      <w:r>
        <w:rPr>
          <w:rFonts w:hint="eastAsia" w:ascii="宋体" w:hAnsi="宋体" w:cs="宋体"/>
          <w:color w:val="auto"/>
          <w:kern w:val="0"/>
          <w:sz w:val="24"/>
          <w:szCs w:val="24"/>
          <w:highlight w:val="none"/>
          <w:lang w:val="en-US" w:eastAsia="zh-CN"/>
        </w:rPr>
        <w:t>进行</w:t>
      </w:r>
      <w:r>
        <w:rPr>
          <w:rFonts w:hint="eastAsia" w:ascii="宋体" w:hAnsi="宋体" w:cs="宋体"/>
          <w:color w:val="auto"/>
          <w:kern w:val="0"/>
          <w:sz w:val="24"/>
          <w:szCs w:val="24"/>
          <w:highlight w:val="none"/>
        </w:rPr>
        <w:t>统一进行规范整理、形成目录清单</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对部分重要档案形成数字化副本</w:t>
      </w:r>
      <w:r>
        <w:rPr>
          <w:rFonts w:hint="eastAsia" w:ascii="宋体" w:hAnsi="宋体" w:cs="宋体"/>
          <w:color w:val="auto"/>
          <w:kern w:val="0"/>
          <w:sz w:val="24"/>
          <w:szCs w:val="24"/>
          <w:highlight w:val="none"/>
          <w:lang w:val="en-US" w:eastAsia="zh-CN"/>
        </w:rPr>
        <w:t>及信息化录入</w:t>
      </w:r>
      <w:r>
        <w:rPr>
          <w:rFonts w:hint="eastAsia" w:ascii="宋体" w:hAnsi="宋体" w:cs="宋体"/>
          <w:color w:val="auto"/>
          <w:kern w:val="0"/>
          <w:sz w:val="24"/>
          <w:szCs w:val="24"/>
          <w:highlight w:val="none"/>
        </w:rPr>
        <w:t>，便于档案的利用查询。</w:t>
      </w:r>
    </w:p>
    <w:p w14:paraId="40C428DC">
      <w:pPr>
        <w:pStyle w:val="22"/>
        <w:widowControl/>
        <w:shd w:val="clear" w:color="auto" w:fill="FFFFFF"/>
        <w:spacing w:line="500" w:lineRule="exact"/>
        <w:ind w:firstLine="480" w:firstLineChars="200"/>
        <w:jc w:val="left"/>
        <w:rPr>
          <w:rFonts w:ascii="宋体" w:hAnsi="宋体" w:cs="宋体"/>
          <w:b/>
          <w:bCs/>
          <w:color w:val="auto"/>
          <w:kern w:val="0"/>
          <w:sz w:val="24"/>
          <w:szCs w:val="24"/>
          <w:highlight w:val="none"/>
        </w:rPr>
      </w:pPr>
      <w:r>
        <w:rPr>
          <w:rFonts w:hint="eastAsia" w:ascii="宋体" w:hAnsi="宋体" w:cs="宋体"/>
          <w:color w:val="auto"/>
          <w:kern w:val="0"/>
          <w:sz w:val="24"/>
          <w:szCs w:val="24"/>
          <w:highlight w:val="none"/>
        </w:rPr>
        <w:t>二、</w:t>
      </w:r>
      <w:r>
        <w:rPr>
          <w:rFonts w:hint="eastAsia" w:ascii="宋体" w:hAnsi="宋体" w:cs="宋体"/>
          <w:b/>
          <w:bCs/>
          <w:color w:val="auto"/>
          <w:kern w:val="0"/>
          <w:sz w:val="24"/>
          <w:szCs w:val="24"/>
          <w:highlight w:val="none"/>
        </w:rPr>
        <w:t>采购最高限价：</w:t>
      </w:r>
    </w:p>
    <w:p w14:paraId="01C976CF">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人民币</w:t>
      </w:r>
      <w:r>
        <w:rPr>
          <w:rFonts w:hint="eastAsia" w:ascii="宋体" w:hAnsi="宋体" w:cs="宋体"/>
          <w:color w:val="auto"/>
          <w:kern w:val="0"/>
          <w:sz w:val="24"/>
          <w:szCs w:val="24"/>
          <w:highlight w:val="none"/>
          <w:lang w:val="en-US" w:eastAsia="zh-CN"/>
        </w:rPr>
        <w:t>46800.00元</w:t>
      </w:r>
      <w:r>
        <w:rPr>
          <w:rFonts w:hint="eastAsia" w:ascii="宋体" w:hAnsi="宋体" w:cs="宋体"/>
          <w:color w:val="auto"/>
          <w:kern w:val="0"/>
          <w:sz w:val="24"/>
          <w:szCs w:val="24"/>
          <w:highlight w:val="none"/>
        </w:rPr>
        <w:t>，大写：</w:t>
      </w:r>
      <w:r>
        <w:rPr>
          <w:rFonts w:hint="eastAsia" w:ascii="宋体" w:hAnsi="宋体" w:cs="宋体"/>
          <w:color w:val="auto"/>
          <w:kern w:val="0"/>
          <w:sz w:val="24"/>
          <w:szCs w:val="24"/>
          <w:highlight w:val="none"/>
          <w:lang w:val="en-US" w:eastAsia="zh-CN"/>
        </w:rPr>
        <w:t>肆万陆仟捌佰元整</w:t>
      </w:r>
      <w:r>
        <w:rPr>
          <w:rFonts w:hint="eastAsia" w:ascii="宋体" w:hAnsi="宋体" w:cs="宋体"/>
          <w:color w:val="auto"/>
          <w:kern w:val="0"/>
          <w:sz w:val="24"/>
          <w:szCs w:val="24"/>
          <w:highlight w:val="none"/>
        </w:rPr>
        <w:t>。</w:t>
      </w:r>
    </w:p>
    <w:p w14:paraId="530F80B4">
      <w:pPr>
        <w:widowControl/>
        <w:shd w:val="clear" w:color="auto" w:fill="FFFFFF"/>
        <w:spacing w:line="500" w:lineRule="exact"/>
        <w:ind w:firstLine="482" w:firstLineChars="200"/>
        <w:jc w:val="left"/>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三、服务内容及技术要求</w:t>
      </w:r>
    </w:p>
    <w:p w14:paraId="2E9E8F0C">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1、遵循的标准</w:t>
      </w:r>
    </w:p>
    <w:p w14:paraId="0E73816D">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（1）安全性标准规范</w:t>
      </w:r>
    </w:p>
    <w:p w14:paraId="37F74BE1">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《中华人民共和国档案法》</w:t>
      </w:r>
    </w:p>
    <w:p w14:paraId="6E56A10C">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《计算机信息网络国际联网保密管理规定》</w:t>
      </w:r>
    </w:p>
    <w:p w14:paraId="6CC0FD79">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《中华人民共和国计算机信息网络国际联网管理暂行规定》</w:t>
      </w:r>
    </w:p>
    <w:p w14:paraId="1041C337">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《计算机病毒防治管理办法》</w:t>
      </w:r>
    </w:p>
    <w:p w14:paraId="66E4B9DA">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《档案数字化外包安全管理规范》</w:t>
      </w:r>
    </w:p>
    <w:p w14:paraId="5FF575A3">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（2）技术性标准规范</w:t>
      </w:r>
    </w:p>
    <w:p w14:paraId="2BF1B212">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《档案著录规则》DA/T18-1999、</w:t>
      </w:r>
    </w:p>
    <w:p w14:paraId="5DAD47EF">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《重庆市归档文件整理规则》（渝档发〔2016〕7号）、</w:t>
      </w:r>
    </w:p>
    <w:p w14:paraId="585514D9">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《重庆市纸质档案数字化实施细则》（渝档发〔2018〕5号）</w:t>
      </w:r>
    </w:p>
    <w:p w14:paraId="367CDA2C">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2、保密要求</w:t>
      </w:r>
    </w:p>
    <w:p w14:paraId="1D260A7C">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鉴于供应商为我院提供的整理及数字化加工服务，为在项目实施期间保证实体档案、</w:t>
      </w:r>
      <w:bookmarkStart w:id="17" w:name="_GoBack"/>
      <w:bookmarkEnd w:id="17"/>
      <w:r>
        <w:rPr>
          <w:rFonts w:hint="eastAsia" w:ascii="宋体" w:hAnsi="宋体" w:cs="宋体"/>
          <w:color w:val="auto"/>
          <w:kern w:val="0"/>
          <w:sz w:val="24"/>
          <w:szCs w:val="24"/>
          <w:highlight w:val="none"/>
        </w:rPr>
        <w:t>电子档案的安全，以及在项目实施期间、实施完成以后保守因工作需要接触到的我院档案信息等有关事项，乙方需遵守：</w:t>
      </w:r>
    </w:p>
    <w:p w14:paraId="67CF3342">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（1）双方应按照“安全第一、防范为主”的原则，采取合理有效的安全保密管理措施，明确权责，明确岗位责任，全过程管理、监督和改进，确保项目实施过程中档案实体和档案信息的安全。</w:t>
      </w:r>
    </w:p>
    <w:p w14:paraId="52B6AA55">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供应商必须严格遵守《中华人民共和国档案法》、《中华人民共和国保守国家秘密法》等法律法规以及我院制定的保密规章、制度，履行保密职责，本着谨慎、诚实的态度，采取任何必要合理的措施保证档案实体及信息的安全。</w:t>
      </w:r>
    </w:p>
    <w:p w14:paraId="3245284B">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（3）供应商对项目实施人员进行安全保密的培训，并在项目实施过程中持续开展教育宣导，积极支持配合我院的安全保密工作。</w:t>
      </w:r>
    </w:p>
    <w:p w14:paraId="09B6B0CE">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4）在项目实施期间，因工作需要接触到的纸质档案、电子档案等，供应商必须保守秘密，不得以任何方式带出工作场所或向外泄露。供应商工作人员不得携带手机、相机等存储介质进入工作场地，不得违规记录、存储、复制和留存档案信息。</w:t>
      </w:r>
    </w:p>
    <w:p w14:paraId="60998BCB">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（5）未经我院同意，任何时候供应商均不得以告知、公布、发布、出版、传授、转让或者其他任何方式泄露属于我院的档案信息，也不得擅自使用属于我院的档案信息。</w:t>
      </w:r>
    </w:p>
    <w:p w14:paraId="0ADE3854">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6）供应商在项目完成后仍对其在项目实施期间因接触而知悉的属于我院或者虽属于第三方但我院承诺有保密义务的档案信息秘密和其他与档案相关的信息，承担保密义务。供应商在项目完成后承担保密义务的期限为无限期保密，直至我院宣布档案公开或者档案信息实际上已经公开。供应商同意就项目完成后所承担的保密义务，我院不再向供应商支付任何保密费用。</w:t>
      </w:r>
    </w:p>
    <w:p w14:paraId="68646C2A">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（7）供应商对于项目实施过程及项目完成后的己方安全保密工作有检查、监督、持续改进等职责和义务。</w:t>
      </w:r>
    </w:p>
    <w:p w14:paraId="7F397F62">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3、加工内容</w:t>
      </w:r>
    </w:p>
    <w:p w14:paraId="5E0EB583">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（1）合同档案整理：</w:t>
      </w:r>
      <w:r>
        <w:rPr>
          <w:rFonts w:hint="eastAsia" w:ascii="宋体" w:hAnsi="宋体" w:cs="宋体"/>
          <w:color w:val="auto"/>
          <w:kern w:val="0"/>
          <w:sz w:val="24"/>
          <w:szCs w:val="24"/>
          <w:highlight w:val="none"/>
        </w:rPr>
        <w:t>约</w:t>
      </w:r>
      <w:r>
        <w:rPr>
          <w:rFonts w:hint="eastAsia" w:ascii="宋体" w:hAnsi="宋体" w:cs="宋体"/>
          <w:color w:val="auto"/>
          <w:kern w:val="0"/>
          <w:sz w:val="24"/>
          <w:szCs w:val="24"/>
          <w:highlight w:val="none"/>
          <w:lang w:val="en-US" w:eastAsia="zh-CN"/>
        </w:rPr>
        <w:t>690</w:t>
      </w:r>
      <w:r>
        <w:rPr>
          <w:rFonts w:hint="eastAsia" w:ascii="宋体" w:hAnsi="宋体" w:cs="宋体"/>
          <w:color w:val="auto"/>
          <w:kern w:val="0"/>
          <w:sz w:val="24"/>
          <w:szCs w:val="24"/>
          <w:highlight w:val="none"/>
        </w:rPr>
        <w:t>件</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其中</w:t>
      </w:r>
      <w:r>
        <w:rPr>
          <w:rFonts w:hint="eastAsia" w:ascii="宋体" w:hAnsi="宋体" w:cs="宋体"/>
          <w:color w:val="auto"/>
          <w:kern w:val="0"/>
          <w:sz w:val="24"/>
          <w:szCs w:val="24"/>
          <w:highlight w:val="none"/>
        </w:rPr>
        <w:t>202</w:t>
      </w: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rPr>
        <w:t>年度</w:t>
      </w:r>
      <w:r>
        <w:rPr>
          <w:rFonts w:hint="eastAsia" w:ascii="宋体" w:hAnsi="宋体" w:cs="宋体"/>
          <w:color w:val="auto"/>
          <w:kern w:val="0"/>
          <w:sz w:val="24"/>
          <w:szCs w:val="24"/>
          <w:highlight w:val="none"/>
          <w:lang w:val="en-US" w:eastAsia="zh-CN"/>
        </w:rPr>
        <w:t>合同约430件，2006年至2024年协作合同约260件）</w:t>
      </w:r>
      <w:r>
        <w:rPr>
          <w:rFonts w:hint="eastAsia" w:ascii="宋体" w:hAnsi="宋体" w:cs="宋体"/>
          <w:color w:val="auto"/>
          <w:kern w:val="0"/>
          <w:sz w:val="24"/>
          <w:szCs w:val="24"/>
          <w:highlight w:val="none"/>
        </w:rPr>
        <w:t>。以实际发生的数量为准。</w:t>
      </w:r>
    </w:p>
    <w:p w14:paraId="427EBA8E">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包含档案交接、剔除重份、划分年度、划分保管期限、排列顺序、编写页码、加盖归档章、填写备考表、装订、填写档案盒脊背及封面信息、录入（档号、文号、题名、责任者、成文时间、密级、开放标志、总页数、备注等）。</w:t>
      </w:r>
    </w:p>
    <w:p w14:paraId="70CE66A8">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（2）2024</w:t>
      </w:r>
      <w:r>
        <w:rPr>
          <w:rFonts w:hint="eastAsia" w:ascii="宋体" w:hAnsi="宋体" w:cs="宋体"/>
          <w:color w:val="auto"/>
          <w:kern w:val="0"/>
          <w:sz w:val="24"/>
          <w:szCs w:val="24"/>
          <w:highlight w:val="none"/>
          <w:lang w:val="en-US" w:eastAsia="zh-CN"/>
        </w:rPr>
        <w:t>年度招标项目</w:t>
      </w:r>
      <w:r>
        <w:rPr>
          <w:rFonts w:hint="eastAsia" w:ascii="宋体" w:hAnsi="宋体" w:cs="宋体"/>
          <w:color w:val="auto"/>
          <w:kern w:val="0"/>
          <w:sz w:val="24"/>
          <w:szCs w:val="24"/>
          <w:highlight w:val="none"/>
        </w:rPr>
        <w:t>档案整理：</w:t>
      </w:r>
      <w:r>
        <w:rPr>
          <w:rFonts w:hint="eastAsia" w:ascii="宋体" w:hAnsi="宋体" w:cs="宋体"/>
          <w:color w:val="auto"/>
          <w:kern w:val="0"/>
          <w:sz w:val="24"/>
          <w:szCs w:val="24"/>
          <w:highlight w:val="none"/>
        </w:rPr>
        <w:t>约</w:t>
      </w:r>
      <w:r>
        <w:rPr>
          <w:rFonts w:hint="eastAsia" w:ascii="宋体" w:hAnsi="宋体" w:cs="宋体"/>
          <w:color w:val="auto"/>
          <w:kern w:val="0"/>
          <w:sz w:val="24"/>
          <w:szCs w:val="24"/>
          <w:highlight w:val="none"/>
          <w:lang w:val="en-US" w:eastAsia="zh-CN"/>
        </w:rPr>
        <w:t>70</w:t>
      </w:r>
      <w:r>
        <w:rPr>
          <w:rFonts w:hint="eastAsia" w:ascii="宋体" w:hAnsi="宋体" w:cs="宋体"/>
          <w:color w:val="auto"/>
          <w:kern w:val="0"/>
          <w:sz w:val="24"/>
          <w:szCs w:val="24"/>
          <w:highlight w:val="none"/>
        </w:rPr>
        <w:t>件</w:t>
      </w:r>
      <w:r>
        <w:rPr>
          <w:rFonts w:hint="eastAsia" w:ascii="宋体" w:hAnsi="宋体" w:cs="宋体"/>
          <w:color w:val="auto"/>
          <w:kern w:val="0"/>
          <w:sz w:val="24"/>
          <w:szCs w:val="24"/>
          <w:highlight w:val="none"/>
        </w:rPr>
        <w:t xml:space="preserve">。以实际发生的数量为准。 </w:t>
      </w:r>
    </w:p>
    <w:p w14:paraId="7089B421">
      <w:pPr>
        <w:widowControl/>
        <w:shd w:val="clear" w:color="auto" w:fill="FFFFFF"/>
        <w:spacing w:line="500" w:lineRule="exact"/>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rPr>
        <w:t>包含清理项目、档案排序、编写页码、填写备考表、装订、填写档案盒脊背及封面信息、录入（顺序号、责任者、题名、文件形成时间、页数、备注等）</w:t>
      </w:r>
      <w:r>
        <w:rPr>
          <w:rFonts w:hint="eastAsia" w:ascii="宋体" w:hAnsi="宋体" w:cs="宋体"/>
          <w:color w:val="auto"/>
          <w:kern w:val="0"/>
          <w:sz w:val="24"/>
          <w:szCs w:val="24"/>
          <w:highlight w:val="none"/>
          <w:lang w:eastAsia="zh-CN"/>
        </w:rPr>
        <w:t>。</w:t>
      </w:r>
    </w:p>
    <w:p w14:paraId="483CD0FB">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w:t>
      </w:r>
      <w:r>
        <w:rPr>
          <w:rFonts w:hint="eastAsia" w:ascii="宋体" w:hAnsi="宋体" w:cs="宋体"/>
          <w:color w:val="auto"/>
          <w:kern w:val="0"/>
          <w:sz w:val="24"/>
          <w:szCs w:val="24"/>
          <w:highlight w:val="none"/>
          <w:lang w:val="en-US" w:eastAsia="zh-CN"/>
        </w:rPr>
        <w:t>3</w:t>
      </w:r>
      <w:r>
        <w:rPr>
          <w:rFonts w:hint="eastAsia" w:ascii="宋体" w:hAnsi="宋体" w:cs="宋体"/>
          <w:color w:val="auto"/>
          <w:kern w:val="0"/>
          <w:sz w:val="24"/>
          <w:szCs w:val="24"/>
          <w:highlight w:val="none"/>
        </w:rPr>
        <w:t>）数字化扫描：</w:t>
      </w:r>
      <w:r>
        <w:rPr>
          <w:rFonts w:hint="eastAsia" w:ascii="宋体" w:hAnsi="宋体" w:cs="宋体"/>
          <w:color w:val="auto"/>
          <w:kern w:val="0"/>
          <w:sz w:val="24"/>
          <w:szCs w:val="24"/>
          <w:highlight w:val="none"/>
        </w:rPr>
        <w:t>约1</w:t>
      </w:r>
      <w:r>
        <w:rPr>
          <w:rFonts w:hint="eastAsia" w:ascii="宋体" w:hAnsi="宋体" w:cs="宋体"/>
          <w:color w:val="auto"/>
          <w:kern w:val="0"/>
          <w:sz w:val="24"/>
          <w:szCs w:val="24"/>
          <w:highlight w:val="none"/>
          <w:lang w:val="en-US" w:eastAsia="zh-CN"/>
        </w:rPr>
        <w:t>5000</w:t>
      </w:r>
      <w:r>
        <w:rPr>
          <w:rFonts w:hint="eastAsia" w:ascii="宋体" w:hAnsi="宋体" w:cs="宋体"/>
          <w:color w:val="auto"/>
          <w:kern w:val="0"/>
          <w:sz w:val="24"/>
          <w:szCs w:val="24"/>
          <w:highlight w:val="none"/>
        </w:rPr>
        <w:t>页</w:t>
      </w:r>
      <w:r>
        <w:rPr>
          <w:rFonts w:hint="eastAsia" w:ascii="宋体" w:hAnsi="宋体" w:cs="宋体"/>
          <w:color w:val="auto"/>
          <w:kern w:val="0"/>
          <w:sz w:val="24"/>
          <w:szCs w:val="24"/>
          <w:highlight w:val="none"/>
        </w:rPr>
        <w:t>。以实际发生的数量为准。</w:t>
      </w:r>
    </w:p>
    <w:p w14:paraId="0B6736EE">
      <w:pPr>
        <w:widowControl/>
        <w:shd w:val="clear" w:color="auto" w:fill="FFFFFF"/>
        <w:spacing w:line="500" w:lineRule="exact"/>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2024年招标档案信息化录入OA系统：约70件。</w:t>
      </w:r>
      <w:r>
        <w:rPr>
          <w:rFonts w:hint="eastAsia" w:ascii="宋体" w:hAnsi="宋体" w:cs="宋体"/>
          <w:color w:val="auto"/>
          <w:kern w:val="0"/>
          <w:sz w:val="24"/>
          <w:szCs w:val="24"/>
          <w:highlight w:val="none"/>
        </w:rPr>
        <w:t>以实际发生的数量为准。</w:t>
      </w:r>
    </w:p>
    <w:p w14:paraId="2FCD5A62">
      <w:pPr>
        <w:widowControl/>
        <w:shd w:val="clear" w:color="auto" w:fill="FFFFFF"/>
        <w:spacing w:line="500" w:lineRule="exact"/>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（5）2024年以前遗漏档案整理约</w:t>
      </w:r>
      <w:r>
        <w:rPr>
          <w:rFonts w:hint="eastAsia" w:ascii="宋体" w:hAnsi="宋体" w:cs="宋体"/>
          <w:color w:val="auto"/>
          <w:kern w:val="0"/>
          <w:sz w:val="24"/>
          <w:szCs w:val="24"/>
          <w:highlight w:val="none"/>
          <w:lang w:val="en-US" w:eastAsia="zh-CN"/>
        </w:rPr>
        <w:t>50件</w:t>
      </w:r>
      <w:r>
        <w:rPr>
          <w:rFonts w:hint="eastAsia" w:ascii="宋体" w:hAnsi="宋体" w:cs="宋体"/>
          <w:color w:val="auto"/>
          <w:kern w:val="0"/>
          <w:sz w:val="24"/>
          <w:szCs w:val="24"/>
          <w:highlight w:val="none"/>
          <w:lang w:val="en-US" w:eastAsia="zh-CN"/>
        </w:rPr>
        <w:t>。</w:t>
      </w:r>
      <w:r>
        <w:rPr>
          <w:rFonts w:hint="eastAsia" w:ascii="宋体" w:hAnsi="宋体" w:cs="宋体"/>
          <w:color w:val="auto"/>
          <w:kern w:val="0"/>
          <w:sz w:val="24"/>
          <w:szCs w:val="24"/>
          <w:highlight w:val="none"/>
        </w:rPr>
        <w:t>以实际发生的数量为准。</w:t>
      </w:r>
    </w:p>
    <w:p w14:paraId="2347BAFC">
      <w:pPr>
        <w:widowControl/>
        <w:shd w:val="clear" w:color="auto" w:fill="FFFFFF"/>
        <w:spacing w:line="500" w:lineRule="exact"/>
        <w:ind w:left="238" w:leftChars="85" w:firstLine="240" w:firstLineChars="100"/>
        <w:jc w:val="left"/>
        <w:rPr>
          <w:rFonts w:ascii="宋体" w:hAnsi="宋体" w:cs="宋体"/>
          <w:b/>
          <w:color w:val="auto"/>
          <w:kern w:val="0"/>
          <w:sz w:val="24"/>
          <w:szCs w:val="24"/>
          <w:highlight w:val="none"/>
        </w:rPr>
      </w:pPr>
      <w:r>
        <w:rPr>
          <w:rFonts w:hint="eastAsia" w:ascii="宋体" w:hAnsi="宋体" w:cs="宋体"/>
          <w:color w:val="auto"/>
          <w:kern w:val="0"/>
          <w:sz w:val="24"/>
          <w:szCs w:val="24"/>
          <w:highlight w:val="none"/>
        </w:rPr>
        <w:t>采用真彩24位，JPG格式，分辨率300dpi进行扫描，包含图像处理、数据备份等。</w:t>
      </w:r>
      <w:r>
        <w:rPr>
          <w:rFonts w:hint="eastAsia" w:ascii="宋体" w:hAnsi="宋体" w:cs="宋体"/>
          <w:b/>
          <w:color w:val="auto"/>
          <w:kern w:val="0"/>
          <w:sz w:val="24"/>
          <w:szCs w:val="24"/>
          <w:highlight w:val="none"/>
        </w:rPr>
        <w:t>四、供应商资格要求</w:t>
      </w:r>
    </w:p>
    <w:p w14:paraId="65C64D58">
      <w:pPr>
        <w:widowControl/>
        <w:shd w:val="clear" w:color="auto" w:fill="FFFFFF"/>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1.具有独立承担民事责任能力；</w:t>
      </w:r>
    </w:p>
    <w:p w14:paraId="35DBB21E">
      <w:pPr>
        <w:widowControl/>
        <w:shd w:val="clear" w:color="auto" w:fill="FFFFFF"/>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2.具有良好商业信誉；</w:t>
      </w:r>
    </w:p>
    <w:p w14:paraId="1D18BA6F">
      <w:pPr>
        <w:widowControl/>
        <w:shd w:val="clear" w:color="auto" w:fill="FFFFFF"/>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6139E488">
      <w:pPr>
        <w:widowControl/>
        <w:shd w:val="clear" w:color="auto" w:fill="FFFFFF"/>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3FF2808E">
      <w:pPr>
        <w:widowControl/>
        <w:shd w:val="clear" w:color="auto" w:fill="FFFFFF"/>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5.参与政府采购活动前三年，在经营过程中无重大违法记录；</w:t>
      </w:r>
    </w:p>
    <w:p w14:paraId="13759B53">
      <w:pPr>
        <w:widowControl/>
        <w:shd w:val="clear" w:color="auto" w:fill="FFFFFF"/>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6.法律、行政法规规定的其它条件。</w:t>
      </w:r>
    </w:p>
    <w:p w14:paraId="25449AA6">
      <w:pPr>
        <w:widowControl/>
        <w:shd w:val="clear" w:color="auto" w:fill="FFFFFF"/>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7.特定资格条件：无。</w:t>
      </w:r>
    </w:p>
    <w:p w14:paraId="23FEB0EC">
      <w:pPr>
        <w:widowControl/>
        <w:shd w:val="clear" w:color="auto" w:fill="FFFFFF"/>
        <w:spacing w:line="500" w:lineRule="exac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五、采购服务约定</w:t>
      </w:r>
    </w:p>
    <w:p w14:paraId="0CCEA9E7">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1.服务周期</w:t>
      </w:r>
    </w:p>
    <w:p w14:paraId="3932A9C7">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合同签订后</w:t>
      </w:r>
      <w:r>
        <w:rPr>
          <w:rFonts w:hint="eastAsia" w:ascii="宋体" w:hAnsi="宋体" w:cs="宋体"/>
          <w:color w:val="auto"/>
          <w:kern w:val="0"/>
          <w:sz w:val="24"/>
          <w:szCs w:val="24"/>
          <w:highlight w:val="none"/>
          <w:lang w:val="en-US" w:eastAsia="zh-CN"/>
        </w:rPr>
        <w:t>20</w:t>
      </w:r>
      <w:r>
        <w:rPr>
          <w:rFonts w:hint="eastAsia" w:ascii="宋体" w:hAnsi="宋体" w:cs="宋体"/>
          <w:color w:val="auto"/>
          <w:kern w:val="0"/>
          <w:sz w:val="24"/>
          <w:szCs w:val="24"/>
          <w:highlight w:val="none"/>
        </w:rPr>
        <w:t>个工作日内完成全部工作并通过我院验收。</w:t>
      </w:r>
    </w:p>
    <w:p w14:paraId="7CBCEC0E">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2.服务地点</w:t>
      </w:r>
    </w:p>
    <w:p w14:paraId="178B6C36">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服务地点：</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指定地点。</w:t>
      </w:r>
    </w:p>
    <w:p w14:paraId="262E456A">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3.验收方式：</w:t>
      </w:r>
    </w:p>
    <w:p w14:paraId="680555FD">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通过甲方组织的验收。</w:t>
      </w:r>
    </w:p>
    <w:p w14:paraId="59EA6ED2">
      <w:pPr>
        <w:widowControl/>
        <w:shd w:val="clear" w:color="auto" w:fill="FFFFFF"/>
        <w:spacing w:line="500" w:lineRule="exac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六、报价要求及成交原则</w:t>
      </w:r>
    </w:p>
    <w:p w14:paraId="217A337F">
      <w:pPr>
        <w:widowControl/>
        <w:shd w:val="clear" w:color="auto" w:fill="FFFFFF"/>
        <w:spacing w:line="500" w:lineRule="exact"/>
        <w:ind w:left="238" w:leftChars="85"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1.报价要求：</w:t>
      </w:r>
    </w:p>
    <w:p w14:paraId="017D4925">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不再补偿。</w:t>
      </w:r>
    </w:p>
    <w:p w14:paraId="715145BE">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2.成交原则</w:t>
      </w:r>
    </w:p>
    <w:p w14:paraId="5C75E869">
      <w:pPr>
        <w:widowControl/>
        <w:shd w:val="clear" w:color="auto" w:fill="FFFFFF"/>
        <w:spacing w:line="5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在符合本次采购要求、质量和服务的前提下，按</w:t>
      </w:r>
      <w:r>
        <w:rPr>
          <w:rFonts w:hint="eastAsia" w:ascii="宋体" w:hAnsi="宋体" w:cs="宋体"/>
          <w:color w:val="auto"/>
          <w:sz w:val="24"/>
          <w:szCs w:val="24"/>
          <w:highlight w:val="none"/>
          <w:lang w:val="en-US" w:eastAsia="zh-CN"/>
        </w:rPr>
        <w:t>综合评分</w:t>
      </w:r>
      <w:r>
        <w:rPr>
          <w:rFonts w:hint="eastAsia" w:ascii="宋体" w:hAnsi="宋体" w:cs="宋体"/>
          <w:color w:val="auto"/>
          <w:sz w:val="24"/>
          <w:szCs w:val="24"/>
          <w:highlight w:val="none"/>
        </w:rPr>
        <w:t>法</w:t>
      </w:r>
      <w:r>
        <w:rPr>
          <w:rFonts w:hint="eastAsia" w:ascii="宋体" w:hAnsi="宋体" w:cs="宋体"/>
          <w:color w:val="auto"/>
          <w:sz w:val="24"/>
          <w:szCs w:val="24"/>
          <w:highlight w:val="none"/>
        </w:rPr>
        <w:t>确定成交供应商。</w:t>
      </w:r>
    </w:p>
    <w:p w14:paraId="14E55802">
      <w:pPr>
        <w:pStyle w:val="23"/>
        <w:ind w:firstLine="480" w:firstLineChars="200"/>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3.评审标准</w:t>
      </w:r>
    </w:p>
    <w:p w14:paraId="533E5494">
      <w:pPr>
        <w:rPr>
          <w:rFonts w:hint="eastAsia" w:hAnsi="宋体" w:cs="宋体"/>
          <w:color w:val="auto"/>
          <w:sz w:val="24"/>
          <w:szCs w:val="24"/>
          <w:highlight w:val="none"/>
          <w:lang w:val="en-US" w:eastAsia="zh-CN"/>
        </w:rPr>
      </w:pPr>
    </w:p>
    <w:tbl>
      <w:tblPr>
        <w:tblStyle w:val="13"/>
        <w:tblW w:w="47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155"/>
        <w:gridCol w:w="676"/>
        <w:gridCol w:w="4536"/>
        <w:gridCol w:w="1889"/>
      </w:tblGrid>
      <w:tr w14:paraId="2D6F7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522" w:type="dxa"/>
            <w:vAlign w:val="center"/>
          </w:tcPr>
          <w:p w14:paraId="50A30175">
            <w:pPr>
              <w:ind w:firstLine="28"/>
              <w:jc w:val="both"/>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1155" w:type="dxa"/>
            <w:vAlign w:val="center"/>
          </w:tcPr>
          <w:p w14:paraId="2BBB4596">
            <w:pPr>
              <w:ind w:firstLine="28"/>
              <w:jc w:val="both"/>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评分因素及权值</w:t>
            </w:r>
          </w:p>
        </w:tc>
        <w:tc>
          <w:tcPr>
            <w:tcW w:w="676" w:type="dxa"/>
            <w:vAlign w:val="center"/>
          </w:tcPr>
          <w:p w14:paraId="647D5A4D">
            <w:pPr>
              <w:ind w:firstLine="28"/>
              <w:jc w:val="both"/>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分值</w:t>
            </w:r>
          </w:p>
        </w:tc>
        <w:tc>
          <w:tcPr>
            <w:tcW w:w="4536" w:type="dxa"/>
            <w:vAlign w:val="center"/>
          </w:tcPr>
          <w:p w14:paraId="630F00D6">
            <w:pPr>
              <w:ind w:firstLine="28"/>
              <w:jc w:val="both"/>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评分标准</w:t>
            </w:r>
          </w:p>
        </w:tc>
        <w:tc>
          <w:tcPr>
            <w:tcW w:w="1889" w:type="dxa"/>
            <w:vAlign w:val="center"/>
          </w:tcPr>
          <w:p w14:paraId="6A04A898">
            <w:pPr>
              <w:ind w:firstLine="28"/>
              <w:jc w:val="both"/>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说明</w:t>
            </w:r>
          </w:p>
        </w:tc>
      </w:tr>
      <w:tr w14:paraId="62C95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jc w:val="center"/>
        </w:trPr>
        <w:tc>
          <w:tcPr>
            <w:tcW w:w="522" w:type="dxa"/>
            <w:vAlign w:val="center"/>
          </w:tcPr>
          <w:p w14:paraId="77DDAB66">
            <w:pPr>
              <w:ind w:firstLine="28"/>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1155" w:type="dxa"/>
            <w:vAlign w:val="center"/>
          </w:tcPr>
          <w:p w14:paraId="6C6A7E8F">
            <w:pPr>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w:t>
            </w:r>
          </w:p>
          <w:p w14:paraId="14DED634">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0%）</w:t>
            </w:r>
          </w:p>
        </w:tc>
        <w:tc>
          <w:tcPr>
            <w:tcW w:w="676" w:type="dxa"/>
            <w:vAlign w:val="center"/>
          </w:tcPr>
          <w:p w14:paraId="1652D881">
            <w:pPr>
              <w:ind w:firstLine="28"/>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0分</w:t>
            </w:r>
          </w:p>
        </w:tc>
        <w:tc>
          <w:tcPr>
            <w:tcW w:w="4536" w:type="dxa"/>
            <w:vAlign w:val="center"/>
          </w:tcPr>
          <w:p w14:paraId="3595F7D6">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满足资格性、符合性要求且最后报价最低的供应商的价格为磋商基准价，其价格分为满分。其他供应商的价格分统一按照下列公式计算每个供应商的报价得分。</w:t>
            </w:r>
          </w:p>
          <w:p w14:paraId="61959FA1">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磋商报价得分=（磋商基准价/最后磋商报价）×价格权值×100</w:t>
            </w:r>
          </w:p>
        </w:tc>
        <w:tc>
          <w:tcPr>
            <w:tcW w:w="1889" w:type="dxa"/>
            <w:vAlign w:val="center"/>
          </w:tcPr>
          <w:p w14:paraId="71C80D6B">
            <w:pPr>
              <w:ind w:firstLine="28"/>
              <w:jc w:val="both"/>
              <w:rPr>
                <w:rFonts w:hint="eastAsia" w:asciiTheme="minorEastAsia" w:hAnsiTheme="minorEastAsia" w:eastAsiaTheme="minorEastAsia" w:cstheme="minorEastAsia"/>
                <w:color w:val="auto"/>
                <w:sz w:val="21"/>
                <w:szCs w:val="21"/>
                <w:highlight w:val="none"/>
              </w:rPr>
            </w:pPr>
          </w:p>
        </w:tc>
      </w:tr>
      <w:tr w14:paraId="0E61D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6" w:hRule="atLeast"/>
          <w:jc w:val="center"/>
        </w:trPr>
        <w:tc>
          <w:tcPr>
            <w:tcW w:w="522" w:type="dxa"/>
            <w:vMerge w:val="restart"/>
            <w:vAlign w:val="center"/>
          </w:tcPr>
          <w:p w14:paraId="3ADCE2E8">
            <w:pPr>
              <w:ind w:firstLine="28"/>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1155" w:type="dxa"/>
            <w:vMerge w:val="restart"/>
            <w:vAlign w:val="center"/>
          </w:tcPr>
          <w:p w14:paraId="747E9677">
            <w:pPr>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服务部分</w:t>
            </w:r>
          </w:p>
          <w:p w14:paraId="6ABF8B11">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0%）</w:t>
            </w:r>
          </w:p>
        </w:tc>
        <w:tc>
          <w:tcPr>
            <w:tcW w:w="676" w:type="dxa"/>
            <w:vMerge w:val="restart"/>
            <w:vAlign w:val="center"/>
          </w:tcPr>
          <w:p w14:paraId="4BBA4785">
            <w:pPr>
              <w:ind w:firstLine="28"/>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0分）</w:t>
            </w:r>
          </w:p>
        </w:tc>
        <w:tc>
          <w:tcPr>
            <w:tcW w:w="4536" w:type="dxa"/>
            <w:vAlign w:val="center"/>
          </w:tcPr>
          <w:p w14:paraId="571BC951">
            <w:pPr>
              <w:ind w:firstLine="28"/>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1.项目实施方案：内容包括整体实施方案、加工流程、技术指标规格及流程图、目录及扫描数据挂接（导入）现有档案管理系统方案</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进度管理、人员安排、设备安排；阐述内容包含上述所有内容，且对各项内容均进行描述的基础上，内容不存在瑕疵得</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分，阐述内容存在1处瑕疵得</w:t>
            </w:r>
            <w:r>
              <w:rPr>
                <w:rFonts w:hint="eastAsia" w:asciiTheme="minorEastAsia" w:hAnsiTheme="minorEastAsia" w:eastAsiaTheme="minorEastAsia" w:cstheme="minorEastAsia"/>
                <w:color w:val="auto"/>
                <w:sz w:val="21"/>
                <w:szCs w:val="21"/>
                <w:highlight w:val="none"/>
                <w:lang w:val="en-US" w:eastAsia="zh-CN"/>
              </w:rPr>
              <w:t>24</w:t>
            </w:r>
            <w:r>
              <w:rPr>
                <w:rFonts w:hint="eastAsia" w:asciiTheme="minorEastAsia" w:hAnsiTheme="minorEastAsia" w:eastAsiaTheme="minorEastAsia" w:cstheme="minorEastAsia"/>
                <w:color w:val="auto"/>
                <w:sz w:val="21"/>
                <w:szCs w:val="21"/>
                <w:highlight w:val="none"/>
              </w:rPr>
              <w:t>分，存在2处瑕疵得</w:t>
            </w:r>
            <w:r>
              <w:rPr>
                <w:rFonts w:hint="eastAsia" w:asciiTheme="minorEastAsia" w:hAnsiTheme="minorEastAsia" w:eastAsiaTheme="minorEastAsia" w:cstheme="minorEastAsia"/>
                <w:color w:val="auto"/>
                <w:sz w:val="21"/>
                <w:szCs w:val="21"/>
                <w:highlight w:val="none"/>
                <w:lang w:val="en-US" w:eastAsia="zh-CN"/>
              </w:rPr>
              <w:t>18</w:t>
            </w:r>
            <w:r>
              <w:rPr>
                <w:rFonts w:hint="eastAsia" w:asciiTheme="minorEastAsia" w:hAnsiTheme="minorEastAsia" w:eastAsiaTheme="minorEastAsia" w:cstheme="minorEastAsia"/>
                <w:color w:val="auto"/>
                <w:sz w:val="21"/>
                <w:szCs w:val="21"/>
                <w:highlight w:val="none"/>
              </w:rPr>
              <w:t>分，存在3处瑕疵得</w:t>
            </w:r>
            <w:r>
              <w:rPr>
                <w:rFonts w:hint="eastAsia" w:asciiTheme="minorEastAsia" w:hAnsiTheme="minorEastAsia" w:eastAsiaTheme="minorEastAsia" w:cstheme="minorEastAsia"/>
                <w:color w:val="auto"/>
                <w:sz w:val="21"/>
                <w:szCs w:val="21"/>
                <w:highlight w:val="none"/>
                <w:lang w:val="en-US" w:eastAsia="zh-CN"/>
              </w:rPr>
              <w:t>12</w:t>
            </w:r>
            <w:r>
              <w:rPr>
                <w:rFonts w:hint="eastAsia" w:asciiTheme="minorEastAsia" w:hAnsiTheme="minorEastAsia" w:eastAsiaTheme="minorEastAsia" w:cstheme="minorEastAsia"/>
                <w:color w:val="auto"/>
                <w:sz w:val="21"/>
                <w:szCs w:val="21"/>
                <w:highlight w:val="none"/>
              </w:rPr>
              <w:t>分，存在4处瑕疵</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存在</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处及以上瑕疵或未提供方案得</w:t>
            </w:r>
            <w:r>
              <w:rPr>
                <w:rFonts w:hint="eastAsia" w:asciiTheme="minorEastAsia" w:hAnsiTheme="minorEastAsia" w:eastAsiaTheme="minorEastAsia" w:cstheme="minorEastAsia"/>
                <w:color w:val="auto"/>
                <w:sz w:val="21"/>
                <w:szCs w:val="21"/>
                <w:highlight w:val="none"/>
                <w:lang w:val="en-US" w:eastAsia="zh-CN"/>
              </w:rPr>
              <w:t>0</w:t>
            </w:r>
            <w:r>
              <w:rPr>
                <w:rFonts w:hint="eastAsia" w:asciiTheme="minorEastAsia" w:hAnsiTheme="minorEastAsia" w:eastAsiaTheme="minorEastAsia" w:cstheme="minorEastAsia"/>
                <w:color w:val="auto"/>
                <w:sz w:val="21"/>
                <w:szCs w:val="21"/>
                <w:highlight w:val="none"/>
              </w:rPr>
              <w:t>分。</w:t>
            </w:r>
          </w:p>
        </w:tc>
        <w:tc>
          <w:tcPr>
            <w:tcW w:w="1889" w:type="dxa"/>
            <w:vMerge w:val="restart"/>
            <w:vAlign w:val="center"/>
          </w:tcPr>
          <w:p w14:paraId="6100094B">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1.根据投标人提供的方案进行评分。</w:t>
            </w:r>
          </w:p>
          <w:p w14:paraId="0A5354F9">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2.评分标准中所称的“瑕疵”指以下任意一种情形：</w:t>
            </w:r>
          </w:p>
          <w:p w14:paraId="2778C0C8">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①内容表述不完整或仅有标题而无实质意义叙述；</w:t>
            </w:r>
          </w:p>
          <w:p w14:paraId="4A7F4912">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②计划及措施不科学合理；</w:t>
            </w:r>
          </w:p>
          <w:p w14:paraId="060F5128">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③内容表述前后矛盾、无连贯性、内容存在逻辑漏洞；</w:t>
            </w:r>
          </w:p>
          <w:p w14:paraId="107C0B38">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④常识性错误；</w:t>
            </w:r>
          </w:p>
          <w:p w14:paraId="1728BADC">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⑤措施安排并不适用本项目特性；</w:t>
            </w:r>
          </w:p>
          <w:p w14:paraId="26AAE5A7">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⑥方案中提出的措施举措不利于本项目目标的实现；</w:t>
            </w:r>
          </w:p>
          <w:p w14:paraId="0A92F6D9">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⑦现有技术条件下不可能实现采购目标。</w:t>
            </w:r>
          </w:p>
        </w:tc>
      </w:tr>
      <w:tr w14:paraId="791C9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522" w:type="dxa"/>
            <w:vMerge w:val="continue"/>
            <w:vAlign w:val="center"/>
          </w:tcPr>
          <w:p w14:paraId="2A4C5DA9">
            <w:pPr>
              <w:ind w:firstLine="28"/>
              <w:jc w:val="both"/>
              <w:rPr>
                <w:rFonts w:hint="eastAsia" w:asciiTheme="minorEastAsia" w:hAnsiTheme="minorEastAsia" w:eastAsiaTheme="minorEastAsia" w:cstheme="minorEastAsia"/>
                <w:color w:val="auto"/>
                <w:sz w:val="21"/>
                <w:szCs w:val="21"/>
                <w:highlight w:val="none"/>
              </w:rPr>
            </w:pPr>
          </w:p>
        </w:tc>
        <w:tc>
          <w:tcPr>
            <w:tcW w:w="1155" w:type="dxa"/>
            <w:vMerge w:val="continue"/>
            <w:vAlign w:val="center"/>
          </w:tcPr>
          <w:p w14:paraId="74F23ED9">
            <w:pPr>
              <w:ind w:firstLine="28"/>
              <w:jc w:val="both"/>
              <w:rPr>
                <w:rFonts w:hint="eastAsia" w:asciiTheme="minorEastAsia" w:hAnsiTheme="minorEastAsia" w:eastAsiaTheme="minorEastAsia" w:cstheme="minorEastAsia"/>
                <w:color w:val="auto"/>
                <w:sz w:val="21"/>
                <w:szCs w:val="21"/>
                <w:highlight w:val="none"/>
              </w:rPr>
            </w:pPr>
          </w:p>
        </w:tc>
        <w:tc>
          <w:tcPr>
            <w:tcW w:w="676" w:type="dxa"/>
            <w:vMerge w:val="continue"/>
            <w:vAlign w:val="center"/>
          </w:tcPr>
          <w:p w14:paraId="2EBA4AB7">
            <w:pPr>
              <w:ind w:firstLine="28"/>
              <w:jc w:val="both"/>
              <w:rPr>
                <w:rFonts w:hint="eastAsia" w:asciiTheme="minorEastAsia" w:hAnsiTheme="minorEastAsia" w:eastAsiaTheme="minorEastAsia" w:cstheme="minorEastAsia"/>
                <w:color w:val="auto"/>
                <w:sz w:val="21"/>
                <w:szCs w:val="21"/>
                <w:highlight w:val="none"/>
              </w:rPr>
            </w:pPr>
          </w:p>
        </w:tc>
        <w:tc>
          <w:tcPr>
            <w:tcW w:w="4536" w:type="dxa"/>
            <w:vAlign w:val="center"/>
          </w:tcPr>
          <w:p w14:paraId="3BA62A1C">
            <w:pPr>
              <w:ind w:firstLine="28"/>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.安全保密措施方案：内容包括安全保密制度、人员安全保密、设备安全保密、数据安全保密、网络安全保密；阐述内容包含上述所有内容，且对各项内容均进行描述的基础上，内容不存在瑕疵得</w:t>
            </w:r>
            <w:r>
              <w:rPr>
                <w:rFonts w:hint="eastAsia" w:asciiTheme="minorEastAsia" w:hAnsiTheme="minorEastAsia" w:eastAsiaTheme="minorEastAsia" w:cstheme="minorEastAsia"/>
                <w:color w:val="auto"/>
                <w:sz w:val="21"/>
                <w:szCs w:val="21"/>
                <w:highlight w:val="none"/>
                <w:lang w:val="en-US" w:eastAsia="zh-CN"/>
              </w:rPr>
              <w:t>20</w:t>
            </w:r>
            <w:r>
              <w:rPr>
                <w:rFonts w:hint="eastAsia" w:asciiTheme="minorEastAsia" w:hAnsiTheme="minorEastAsia" w:eastAsiaTheme="minorEastAsia" w:cstheme="minorEastAsia"/>
                <w:color w:val="auto"/>
                <w:sz w:val="21"/>
                <w:szCs w:val="21"/>
                <w:highlight w:val="none"/>
              </w:rPr>
              <w:t>分，阐述内容存在1处瑕疵得</w:t>
            </w:r>
            <w:r>
              <w:rPr>
                <w:rFonts w:hint="eastAsia" w:asciiTheme="minorEastAsia" w:hAnsiTheme="minorEastAsia" w:eastAsiaTheme="minorEastAsia" w:cstheme="minorEastAsia"/>
                <w:color w:val="auto"/>
                <w:sz w:val="21"/>
                <w:szCs w:val="21"/>
                <w:highlight w:val="none"/>
                <w:lang w:val="en-US" w:eastAsia="zh-CN"/>
              </w:rPr>
              <w:t>16</w:t>
            </w:r>
            <w:r>
              <w:rPr>
                <w:rFonts w:hint="eastAsia" w:asciiTheme="minorEastAsia" w:hAnsiTheme="minorEastAsia" w:eastAsiaTheme="minorEastAsia" w:cstheme="minorEastAsia"/>
                <w:color w:val="auto"/>
                <w:sz w:val="21"/>
                <w:szCs w:val="21"/>
                <w:highlight w:val="none"/>
              </w:rPr>
              <w:t>分，存在2处瑕疵得</w:t>
            </w:r>
            <w:r>
              <w:rPr>
                <w:rFonts w:hint="eastAsia" w:asciiTheme="minorEastAsia" w:hAnsiTheme="minorEastAsia" w:eastAsiaTheme="minorEastAsia" w:cstheme="minorEastAsia"/>
                <w:color w:val="auto"/>
                <w:sz w:val="21"/>
                <w:szCs w:val="21"/>
                <w:highlight w:val="none"/>
                <w:lang w:val="en-US" w:eastAsia="zh-CN"/>
              </w:rPr>
              <w:t>12</w:t>
            </w:r>
            <w:r>
              <w:rPr>
                <w:rFonts w:hint="eastAsia" w:asciiTheme="minorEastAsia" w:hAnsiTheme="minorEastAsia" w:eastAsiaTheme="minorEastAsia" w:cstheme="minorEastAsia"/>
                <w:color w:val="auto"/>
                <w:sz w:val="21"/>
                <w:szCs w:val="21"/>
                <w:highlight w:val="none"/>
              </w:rPr>
              <w:t>分，存在3处瑕疵得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分，存在4处瑕疵得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存在</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处及以上瑕疵或未提供方案得</w:t>
            </w:r>
            <w:r>
              <w:rPr>
                <w:rFonts w:hint="eastAsia" w:asciiTheme="minorEastAsia" w:hAnsiTheme="minorEastAsia" w:eastAsiaTheme="minorEastAsia" w:cstheme="minorEastAsia"/>
                <w:color w:val="auto"/>
                <w:sz w:val="21"/>
                <w:szCs w:val="21"/>
                <w:highlight w:val="none"/>
                <w:lang w:val="en-US" w:eastAsia="zh-CN"/>
              </w:rPr>
              <w:t>0</w:t>
            </w:r>
            <w:r>
              <w:rPr>
                <w:rFonts w:hint="eastAsia" w:asciiTheme="minorEastAsia" w:hAnsiTheme="minorEastAsia" w:eastAsiaTheme="minorEastAsia" w:cstheme="minorEastAsia"/>
                <w:color w:val="auto"/>
                <w:sz w:val="21"/>
                <w:szCs w:val="21"/>
                <w:highlight w:val="none"/>
              </w:rPr>
              <w:t>分。</w:t>
            </w:r>
          </w:p>
        </w:tc>
        <w:tc>
          <w:tcPr>
            <w:tcW w:w="1889" w:type="dxa"/>
            <w:vMerge w:val="continue"/>
            <w:vAlign w:val="center"/>
          </w:tcPr>
          <w:p w14:paraId="5090B485">
            <w:pPr>
              <w:ind w:firstLine="28"/>
              <w:jc w:val="both"/>
              <w:rPr>
                <w:rFonts w:hint="eastAsia" w:asciiTheme="minorEastAsia" w:hAnsiTheme="minorEastAsia" w:eastAsiaTheme="minorEastAsia" w:cstheme="minorEastAsia"/>
                <w:color w:val="auto"/>
                <w:sz w:val="21"/>
                <w:szCs w:val="21"/>
                <w:highlight w:val="none"/>
              </w:rPr>
            </w:pPr>
          </w:p>
        </w:tc>
      </w:tr>
      <w:tr w14:paraId="4FBC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atLeast"/>
          <w:jc w:val="center"/>
        </w:trPr>
        <w:tc>
          <w:tcPr>
            <w:tcW w:w="522" w:type="dxa"/>
            <w:vAlign w:val="center"/>
          </w:tcPr>
          <w:p w14:paraId="04C048FB">
            <w:pPr>
              <w:ind w:firstLine="420" w:firstLineChars="200"/>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p w14:paraId="68BDD0EB">
            <w:pPr>
              <w:ind w:firstLine="28"/>
              <w:jc w:val="both"/>
              <w:rPr>
                <w:rFonts w:hint="eastAsia" w:asciiTheme="minorEastAsia" w:hAnsiTheme="minorEastAsia" w:eastAsiaTheme="minorEastAsia" w:cstheme="minorEastAsia"/>
                <w:color w:val="auto"/>
                <w:sz w:val="21"/>
                <w:szCs w:val="21"/>
                <w:highlight w:val="none"/>
              </w:rPr>
            </w:pPr>
          </w:p>
        </w:tc>
        <w:tc>
          <w:tcPr>
            <w:tcW w:w="1155" w:type="dxa"/>
            <w:vAlign w:val="center"/>
          </w:tcPr>
          <w:p w14:paraId="151467EE">
            <w:pPr>
              <w:jc w:val="both"/>
              <w:rPr>
                <w:rFonts w:hint="eastAsia" w:asciiTheme="minorEastAsia" w:hAnsiTheme="minorEastAsia" w:eastAsiaTheme="minorEastAsia" w:cstheme="minorEastAsia"/>
                <w:i w:val="0"/>
                <w:iCs w:val="0"/>
                <w:color w:val="auto"/>
                <w:sz w:val="21"/>
                <w:szCs w:val="21"/>
                <w:highlight w:val="none"/>
              </w:rPr>
            </w:pPr>
            <w:r>
              <w:rPr>
                <w:rFonts w:hint="eastAsia" w:asciiTheme="minorEastAsia" w:hAnsiTheme="minorEastAsia" w:eastAsiaTheme="minorEastAsia" w:cstheme="minorEastAsia"/>
                <w:i w:val="0"/>
                <w:iCs w:val="0"/>
                <w:color w:val="auto"/>
                <w:sz w:val="21"/>
                <w:szCs w:val="21"/>
                <w:highlight w:val="none"/>
                <w:lang w:val="en-US" w:eastAsia="zh-CN"/>
              </w:rPr>
              <w:t>商务</w:t>
            </w:r>
            <w:r>
              <w:rPr>
                <w:rFonts w:hint="eastAsia" w:asciiTheme="minorEastAsia" w:hAnsiTheme="minorEastAsia" w:eastAsiaTheme="minorEastAsia" w:cstheme="minorEastAsia"/>
                <w:i w:val="0"/>
                <w:iCs w:val="0"/>
                <w:color w:val="auto"/>
                <w:sz w:val="21"/>
                <w:szCs w:val="21"/>
                <w:highlight w:val="none"/>
              </w:rPr>
              <w:t>部分</w:t>
            </w:r>
          </w:p>
          <w:p w14:paraId="3CEBDDF1">
            <w:pPr>
              <w:ind w:firstLine="420" w:firstLineChars="200"/>
              <w:jc w:val="both"/>
              <w:rPr>
                <w:rFonts w:hint="eastAsia" w:asciiTheme="minorEastAsia" w:hAnsiTheme="minorEastAsia" w:eastAsiaTheme="minorEastAsia" w:cstheme="minorEastAsia"/>
                <w:i w:val="0"/>
                <w:iCs w:val="0"/>
                <w:color w:val="auto"/>
                <w:sz w:val="21"/>
                <w:szCs w:val="21"/>
                <w:highlight w:val="none"/>
              </w:rPr>
            </w:pPr>
            <w:r>
              <w:rPr>
                <w:rFonts w:hint="eastAsia" w:asciiTheme="minorEastAsia" w:hAnsiTheme="minorEastAsia" w:eastAsiaTheme="minorEastAsia" w:cstheme="minorEastAsia"/>
                <w:i w:val="0"/>
                <w:iCs w:val="0"/>
                <w:color w:val="auto"/>
                <w:sz w:val="21"/>
                <w:szCs w:val="21"/>
                <w:highlight w:val="none"/>
              </w:rPr>
              <w:t>（</w:t>
            </w:r>
            <w:r>
              <w:rPr>
                <w:rFonts w:hint="eastAsia" w:asciiTheme="minorEastAsia" w:hAnsiTheme="minorEastAsia" w:eastAsiaTheme="minorEastAsia" w:cstheme="minorEastAsia"/>
                <w:i w:val="0"/>
                <w:iCs w:val="0"/>
                <w:color w:val="auto"/>
                <w:sz w:val="21"/>
                <w:szCs w:val="21"/>
                <w:highlight w:val="none"/>
                <w:lang w:val="en-US" w:eastAsia="zh-CN"/>
              </w:rPr>
              <w:t>2</w:t>
            </w:r>
            <w:r>
              <w:rPr>
                <w:rFonts w:hint="eastAsia" w:asciiTheme="minorEastAsia" w:hAnsiTheme="minorEastAsia" w:eastAsiaTheme="minorEastAsia" w:cstheme="minorEastAsia"/>
                <w:i w:val="0"/>
                <w:iCs w:val="0"/>
                <w:color w:val="auto"/>
                <w:sz w:val="21"/>
                <w:szCs w:val="21"/>
                <w:highlight w:val="none"/>
              </w:rPr>
              <w:t>0%）</w:t>
            </w:r>
          </w:p>
        </w:tc>
        <w:tc>
          <w:tcPr>
            <w:tcW w:w="676" w:type="dxa"/>
            <w:vAlign w:val="center"/>
          </w:tcPr>
          <w:p w14:paraId="1A242075">
            <w:pPr>
              <w:ind w:firstLine="28" w:firstLineChars="0"/>
              <w:jc w:val="both"/>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售后服务（20分）</w:t>
            </w:r>
          </w:p>
        </w:tc>
        <w:tc>
          <w:tcPr>
            <w:tcW w:w="4536" w:type="dxa"/>
            <w:shd w:val="clear" w:color="auto" w:fill="auto"/>
            <w:vAlign w:val="center"/>
          </w:tcPr>
          <w:p w14:paraId="5954A48F">
            <w:pPr>
              <w:ind w:firstLine="28" w:firstLineChars="0"/>
              <w:jc w:val="both"/>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售后服务方案：内容包括服务质量承诺、售后服务计划、优惠承诺、后续服务、应急补救措施；阐述内容包含上述所有内容，且对各项内容均进行描述的基础上，内容不存在瑕疵得</w:t>
            </w:r>
            <w:r>
              <w:rPr>
                <w:rFonts w:hint="eastAsia" w:asciiTheme="minorEastAsia" w:hAnsiTheme="minorEastAsia" w:eastAsiaTheme="minorEastAsia" w:cstheme="minorEastAsia"/>
                <w:color w:val="auto"/>
                <w:sz w:val="21"/>
                <w:szCs w:val="21"/>
                <w:highlight w:val="none"/>
                <w:lang w:val="en-US" w:eastAsia="zh-CN"/>
              </w:rPr>
              <w:t>20</w:t>
            </w:r>
            <w:r>
              <w:rPr>
                <w:rFonts w:hint="eastAsia" w:asciiTheme="minorEastAsia" w:hAnsiTheme="minorEastAsia" w:eastAsiaTheme="minorEastAsia" w:cstheme="minorEastAsia"/>
                <w:color w:val="auto"/>
                <w:sz w:val="21"/>
                <w:szCs w:val="21"/>
                <w:highlight w:val="none"/>
              </w:rPr>
              <w:t>分，阐述内容存在1处瑕疵得</w:t>
            </w:r>
            <w:r>
              <w:rPr>
                <w:rFonts w:hint="eastAsia" w:asciiTheme="minorEastAsia" w:hAnsiTheme="minorEastAsia" w:eastAsiaTheme="minorEastAsia" w:cstheme="minorEastAsia"/>
                <w:color w:val="auto"/>
                <w:sz w:val="21"/>
                <w:szCs w:val="21"/>
                <w:highlight w:val="none"/>
                <w:lang w:val="en-US" w:eastAsia="zh-CN"/>
              </w:rPr>
              <w:t>16</w:t>
            </w:r>
            <w:r>
              <w:rPr>
                <w:rFonts w:hint="eastAsia" w:asciiTheme="minorEastAsia" w:hAnsiTheme="minorEastAsia" w:eastAsiaTheme="minorEastAsia" w:cstheme="minorEastAsia"/>
                <w:color w:val="auto"/>
                <w:sz w:val="21"/>
                <w:szCs w:val="21"/>
                <w:highlight w:val="none"/>
              </w:rPr>
              <w:t>分，存在2处瑕疵得</w:t>
            </w:r>
            <w:r>
              <w:rPr>
                <w:rFonts w:hint="eastAsia" w:asciiTheme="minorEastAsia" w:hAnsiTheme="minorEastAsia" w:eastAsiaTheme="minorEastAsia" w:cstheme="minorEastAsia"/>
                <w:color w:val="auto"/>
                <w:sz w:val="21"/>
                <w:szCs w:val="21"/>
                <w:highlight w:val="none"/>
                <w:lang w:val="en-US" w:eastAsia="zh-CN"/>
              </w:rPr>
              <w:t>12</w:t>
            </w:r>
            <w:r>
              <w:rPr>
                <w:rFonts w:hint="eastAsia" w:asciiTheme="minorEastAsia" w:hAnsiTheme="minorEastAsia" w:eastAsiaTheme="minorEastAsia" w:cstheme="minorEastAsia"/>
                <w:color w:val="auto"/>
                <w:sz w:val="21"/>
                <w:szCs w:val="21"/>
                <w:highlight w:val="none"/>
              </w:rPr>
              <w:t>分，存在3处瑕疵得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分，存在4处及以上瑕疵或未提供方案得</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存在</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处及以上瑕疵或未提供方案得</w:t>
            </w:r>
            <w:r>
              <w:rPr>
                <w:rFonts w:hint="eastAsia" w:asciiTheme="minorEastAsia" w:hAnsiTheme="minorEastAsia" w:eastAsiaTheme="minorEastAsia" w:cstheme="minorEastAsia"/>
                <w:color w:val="auto"/>
                <w:sz w:val="21"/>
                <w:szCs w:val="21"/>
                <w:highlight w:val="none"/>
                <w:lang w:val="en-US" w:eastAsia="zh-CN"/>
              </w:rPr>
              <w:t>0</w:t>
            </w:r>
            <w:r>
              <w:rPr>
                <w:rFonts w:hint="eastAsia" w:asciiTheme="minorEastAsia" w:hAnsiTheme="minorEastAsia" w:eastAsiaTheme="minorEastAsia" w:cstheme="minorEastAsia"/>
                <w:color w:val="auto"/>
                <w:sz w:val="21"/>
                <w:szCs w:val="21"/>
                <w:highlight w:val="none"/>
              </w:rPr>
              <w:t>分。</w:t>
            </w:r>
          </w:p>
        </w:tc>
        <w:tc>
          <w:tcPr>
            <w:tcW w:w="1889" w:type="dxa"/>
            <w:vMerge w:val="continue"/>
            <w:vAlign w:val="center"/>
          </w:tcPr>
          <w:p w14:paraId="3655C6FB">
            <w:pPr>
              <w:ind w:firstLine="28"/>
              <w:jc w:val="both"/>
              <w:rPr>
                <w:rFonts w:hint="eastAsia" w:asciiTheme="minorEastAsia" w:hAnsiTheme="minorEastAsia" w:eastAsiaTheme="minorEastAsia" w:cstheme="minorEastAsia"/>
                <w:color w:val="auto"/>
                <w:sz w:val="21"/>
                <w:szCs w:val="21"/>
                <w:highlight w:val="none"/>
              </w:rPr>
            </w:pPr>
          </w:p>
        </w:tc>
      </w:tr>
    </w:tbl>
    <w:p w14:paraId="1D562E65">
      <w:pPr>
        <w:pStyle w:val="8"/>
        <w:ind w:firstLine="480" w:firstLineChars="200"/>
        <w:rPr>
          <w:rFonts w:hint="eastAsia" w:ascii="宋体" w:hAnsi="宋体" w:cs="宋体"/>
          <w:b w:val="0"/>
          <w:bCs w:val="0"/>
          <w:color w:val="auto"/>
          <w:sz w:val="24"/>
          <w:szCs w:val="24"/>
          <w:highlight w:val="none"/>
        </w:rPr>
      </w:pPr>
    </w:p>
    <w:p w14:paraId="00F8CB2E">
      <w:pPr>
        <w:pStyle w:val="8"/>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七、提交报价文件的份数和签署</w:t>
      </w:r>
    </w:p>
    <w:p w14:paraId="24B8D845">
      <w:pPr>
        <w:pStyle w:val="8"/>
        <w:ind w:left="238" w:leftChars="85"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1.报价文件一式</w:t>
      </w:r>
      <w:r>
        <w:rPr>
          <w:rFonts w:hint="eastAsia" w:ascii="宋体" w:hAnsi="宋体" w:cs="宋体"/>
          <w:color w:val="auto"/>
          <w:sz w:val="24"/>
          <w:szCs w:val="24"/>
          <w:highlight w:val="none"/>
          <w:lang w:val="en-US" w:eastAsia="zh-CN"/>
        </w:rPr>
        <w:t>二份</w:t>
      </w:r>
      <w:r>
        <w:rPr>
          <w:rFonts w:hint="eastAsia" w:ascii="宋体" w:hAnsi="宋体" w:cs="宋体"/>
          <w:color w:val="auto"/>
          <w:sz w:val="24"/>
          <w:szCs w:val="24"/>
          <w:highlight w:val="none"/>
        </w:rPr>
        <w:t>。其中正本一份，副本一份，副本可为正本的复印件，应与正本一致，如出现不一致情况以正本为准</w:t>
      </w:r>
      <w:r>
        <w:rPr>
          <w:rFonts w:hint="eastAsia" w:ascii="宋体" w:hAnsi="宋体" w:cs="宋体"/>
          <w:color w:val="auto"/>
          <w:sz w:val="24"/>
          <w:szCs w:val="24"/>
          <w:highlight w:val="none"/>
          <w:lang w:eastAsia="zh-CN"/>
        </w:rPr>
        <w:t>。</w:t>
      </w:r>
    </w:p>
    <w:p w14:paraId="5F241500">
      <w:pPr>
        <w:pStyle w:val="8"/>
        <w:ind w:left="238" w:leftChars="85"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2.在报价文件中规定签署、盖章的地方必须按其规定签署、盖章。否则视为无效报价。</w:t>
      </w:r>
    </w:p>
    <w:p w14:paraId="720F9477">
      <w:pPr>
        <w:widowControl/>
        <w:spacing w:line="500" w:lineRule="exac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八、付款方式：</w:t>
      </w:r>
    </w:p>
    <w:p w14:paraId="188DE2B3">
      <w:pPr>
        <w:widowControl/>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合同签订后</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采购人在10个工作日内，向成交供应商支付合同总金额30%作为项目启动经费。</w:t>
      </w:r>
      <w:r>
        <w:rPr>
          <w:rFonts w:hint="eastAsia" w:ascii="宋体" w:hAnsi="宋体" w:cs="宋体"/>
          <w:color w:val="auto"/>
          <w:sz w:val="24"/>
          <w:szCs w:val="24"/>
          <w:highlight w:val="none"/>
          <w:lang w:val="en-US" w:eastAsia="zh-CN"/>
        </w:rPr>
        <w:t>供应商入场工作后，</w:t>
      </w:r>
      <w:r>
        <w:rPr>
          <w:rFonts w:hint="eastAsia" w:ascii="宋体" w:hAnsi="宋体" w:cs="宋体"/>
          <w:color w:val="auto"/>
          <w:sz w:val="24"/>
          <w:szCs w:val="24"/>
          <w:highlight w:val="none"/>
        </w:rPr>
        <w:t>采购人在10个工作日内向成交供应商支付合同总金额50%。</w:t>
      </w:r>
      <w:r>
        <w:rPr>
          <w:rFonts w:hint="eastAsia" w:ascii="宋体" w:hAnsi="宋体" w:cs="宋体"/>
          <w:color w:val="auto"/>
          <w:sz w:val="24"/>
          <w:szCs w:val="24"/>
          <w:highlight w:val="none"/>
        </w:rPr>
        <w:t>成交供应商完成</w:t>
      </w:r>
      <w:r>
        <w:rPr>
          <w:rFonts w:hint="eastAsia" w:ascii="宋体" w:hAnsi="宋体" w:cs="宋体"/>
          <w:color w:val="auto"/>
          <w:kern w:val="0"/>
          <w:sz w:val="24"/>
          <w:szCs w:val="24"/>
          <w:highlight w:val="none"/>
        </w:rPr>
        <w:t>全部工作，</w:t>
      </w:r>
      <w:r>
        <w:rPr>
          <w:rFonts w:hint="eastAsia" w:ascii="宋体" w:hAnsi="宋体" w:cs="宋体"/>
          <w:color w:val="auto"/>
          <w:sz w:val="24"/>
          <w:szCs w:val="24"/>
          <w:highlight w:val="none"/>
        </w:rPr>
        <w:t>根据我院意见修改并</w:t>
      </w:r>
      <w:r>
        <w:rPr>
          <w:rFonts w:hint="eastAsia" w:ascii="宋体" w:hAnsi="宋体" w:cs="宋体"/>
          <w:color w:val="auto"/>
          <w:kern w:val="0"/>
          <w:sz w:val="24"/>
          <w:szCs w:val="24"/>
          <w:highlight w:val="none"/>
        </w:rPr>
        <w:t>通过我院验收，10个工作日内我院</w:t>
      </w:r>
      <w:r>
        <w:rPr>
          <w:rFonts w:hint="eastAsia" w:ascii="宋体" w:hAnsi="宋体" w:cs="宋体"/>
          <w:color w:val="auto"/>
          <w:kern w:val="0"/>
          <w:sz w:val="24"/>
          <w:szCs w:val="24"/>
          <w:highlight w:val="none"/>
          <w:lang w:val="en-US" w:eastAsia="zh-CN"/>
        </w:rPr>
        <w:t>一次性</w:t>
      </w:r>
      <w:r>
        <w:rPr>
          <w:rFonts w:hint="eastAsia" w:ascii="宋体" w:hAnsi="宋体" w:cs="宋体"/>
          <w:color w:val="auto"/>
          <w:kern w:val="0"/>
          <w:sz w:val="24"/>
          <w:szCs w:val="24"/>
          <w:highlight w:val="none"/>
        </w:rPr>
        <w:t>支付</w:t>
      </w:r>
      <w:r>
        <w:rPr>
          <w:rFonts w:hint="eastAsia" w:ascii="宋体" w:hAnsi="宋体" w:cs="宋体"/>
          <w:color w:val="auto"/>
          <w:kern w:val="0"/>
          <w:sz w:val="24"/>
          <w:szCs w:val="24"/>
          <w:highlight w:val="none"/>
          <w:lang w:val="en-US" w:eastAsia="zh-CN"/>
        </w:rPr>
        <w:t>剩下的全部</w:t>
      </w:r>
      <w:r>
        <w:rPr>
          <w:rFonts w:hint="eastAsia" w:ascii="宋体" w:hAnsi="宋体" w:cs="宋体"/>
          <w:color w:val="auto"/>
          <w:kern w:val="0"/>
          <w:sz w:val="24"/>
          <w:szCs w:val="24"/>
          <w:highlight w:val="none"/>
        </w:rPr>
        <w:t>工作经费</w:t>
      </w:r>
      <w:r>
        <w:rPr>
          <w:rFonts w:hint="eastAsia" w:ascii="宋体" w:hAnsi="宋体" w:cs="宋体"/>
          <w:color w:val="auto"/>
          <w:sz w:val="24"/>
          <w:szCs w:val="24"/>
          <w:highlight w:val="none"/>
        </w:rPr>
        <w:t>。成交供应商应在我院支付经费之前提供有效的票据，且成交供应商严格按照我院要求和格式提交相关资料，否则我院有权拒绝支付相关费用。</w:t>
      </w:r>
    </w:p>
    <w:p w14:paraId="12DDDCE2">
      <w:pPr>
        <w:widowControl/>
        <w:shd w:val="clear" w:color="auto" w:fill="FFFFFF"/>
        <w:spacing w:line="500" w:lineRule="exac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九、报价要求</w:t>
      </w:r>
    </w:p>
    <w:p w14:paraId="3F833848">
      <w:pPr>
        <w:widowControl/>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报价文件请于</w:t>
      </w:r>
      <w:r>
        <w:rPr>
          <w:rFonts w:hint="eastAsia" w:ascii="宋体" w:hAnsi="宋体" w:cs="宋体"/>
          <w:color w:val="auto"/>
          <w:sz w:val="24"/>
          <w:szCs w:val="24"/>
          <w:highlight w:val="none"/>
        </w:rPr>
        <w:t>2025年</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25</w:t>
      </w:r>
      <w:r>
        <w:rPr>
          <w:rFonts w:hint="eastAsia" w:ascii="宋体" w:hAnsi="宋体" w:cs="宋体"/>
          <w:color w:val="auto"/>
          <w:sz w:val="24"/>
          <w:szCs w:val="24"/>
          <w:highlight w:val="none"/>
        </w:rPr>
        <w:t>日中午12：00时前以快递或当面送达的方式递交，凡超出上述时限送达的报价文件均拒绝接受并视为贵单位放弃参与本项目报价。报价统一采用本《</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文件》附件报价函，否则视为无效报价。</w:t>
      </w:r>
    </w:p>
    <w:p w14:paraId="44632F04">
      <w:pPr>
        <w:widowControl/>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参与本项目</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的供应商不足3家的，则本项目重新开展</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75BE53EC">
      <w:pPr>
        <w:widowControl/>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联系人：陈老师</w:t>
      </w:r>
    </w:p>
    <w:p w14:paraId="07973A76">
      <w:pPr>
        <w:widowControl/>
        <w:spacing w:line="5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联系电话：023-63524124</w:t>
      </w:r>
    </w:p>
    <w:p w14:paraId="03B1AD0C">
      <w:pPr>
        <w:widowControl/>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邮寄地址：重庆市渝中区枇杷山正街72号重庆市文物考古研究院</w:t>
      </w:r>
    </w:p>
    <w:p w14:paraId="53C81738">
      <w:pPr>
        <w:pStyle w:val="4"/>
        <w:spacing w:line="440" w:lineRule="exact"/>
        <w:ind w:firstLine="482"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十、其他</w:t>
      </w:r>
    </w:p>
    <w:p w14:paraId="69DD3EB6">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1.供应商向我院递交</w:t>
      </w:r>
      <w:r>
        <w:rPr>
          <w:rFonts w:hint="eastAsia" w:ascii="宋体" w:hAnsi="宋体" w:cs="宋体"/>
          <w:color w:val="auto"/>
          <w:sz w:val="24"/>
          <w:szCs w:val="24"/>
          <w:highlight w:val="none"/>
          <w:lang w:val="en-US" w:eastAsia="zh-CN"/>
        </w:rPr>
        <w:t>响应</w:t>
      </w:r>
      <w:r>
        <w:rPr>
          <w:rFonts w:hint="eastAsia" w:ascii="宋体" w:hAnsi="宋体" w:cs="宋体"/>
          <w:color w:val="auto"/>
          <w:sz w:val="24"/>
          <w:szCs w:val="24"/>
          <w:highlight w:val="none"/>
        </w:rPr>
        <w:t>文件视为接受</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文件</w:t>
      </w:r>
      <w:r>
        <w:rPr>
          <w:rFonts w:hint="eastAsia" w:ascii="宋体" w:hAnsi="宋体" w:cs="宋体"/>
          <w:color w:val="auto"/>
          <w:sz w:val="24"/>
          <w:szCs w:val="24"/>
          <w:highlight w:val="none"/>
          <w:lang w:val="en-US" w:eastAsia="zh-CN"/>
        </w:rPr>
        <w:t>所有</w:t>
      </w:r>
      <w:r>
        <w:rPr>
          <w:rFonts w:hint="eastAsia" w:ascii="宋体" w:hAnsi="宋体" w:cs="宋体"/>
          <w:color w:val="auto"/>
          <w:sz w:val="24"/>
          <w:szCs w:val="24"/>
          <w:highlight w:val="none"/>
        </w:rPr>
        <w:t>条款，并承诺工作成果必须达到</w:t>
      </w:r>
      <w:r>
        <w:rPr>
          <w:rFonts w:hint="eastAsia" w:ascii="宋体" w:hAnsi="宋体" w:cs="宋体"/>
          <w:color w:val="auto"/>
          <w:sz w:val="24"/>
          <w:szCs w:val="24"/>
          <w:highlight w:val="none"/>
          <w:lang w:val="en-US" w:eastAsia="zh-CN"/>
        </w:rPr>
        <w:t>询比文件</w:t>
      </w:r>
      <w:r>
        <w:rPr>
          <w:rFonts w:hint="eastAsia" w:ascii="宋体" w:hAnsi="宋体" w:cs="宋体"/>
          <w:color w:val="auto"/>
          <w:sz w:val="24"/>
          <w:szCs w:val="24"/>
          <w:highlight w:val="none"/>
        </w:rPr>
        <w:t>的要求。</w:t>
      </w:r>
    </w:p>
    <w:p w14:paraId="3340757D">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2.供应商须自行承诺其提供的响应文件中所有证明材料真实有效，不存在弄虚作假情形。</w:t>
      </w:r>
    </w:p>
    <w:p w14:paraId="05ACD488">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2D5F6BBC">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6E03CA4C">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5.凡有意参加</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的供应商，请于公告发布之日起至报名截止时间之前，在重庆市文物考古研究院官网（www.cqkaogu.com）上下载查看本项目</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文件以及变更公告等</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前公布的所有项目资料，无论供应商下载查看与否，均视为已知晓所有</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实质性要求内容。</w:t>
      </w:r>
    </w:p>
    <w:p w14:paraId="35E318A2">
      <w:pPr>
        <w:snapToGrid w:val="0"/>
        <w:spacing w:line="360" w:lineRule="auto"/>
        <w:ind w:firstLine="480" w:firstLineChars="200"/>
        <w:rPr>
          <w:rFonts w:ascii="宋体" w:hAnsi="宋体" w:cs="宋体"/>
          <w:color w:val="auto"/>
          <w:sz w:val="24"/>
          <w:szCs w:val="24"/>
          <w:highlight w:val="none"/>
        </w:rPr>
      </w:pPr>
      <w:r>
        <w:rPr>
          <w:rFonts w:hint="eastAsia" w:cs="宋体"/>
          <w:color w:val="auto"/>
          <w:sz w:val="24"/>
          <w:szCs w:val="24"/>
          <w:highlight w:val="none"/>
        </w:rPr>
        <w:t>6.</w:t>
      </w:r>
      <w:r>
        <w:rPr>
          <w:rFonts w:hint="eastAsia" w:ascii="宋体" w:hAnsi="宋体" w:cs="宋体"/>
          <w:color w:val="auto"/>
          <w:sz w:val="24"/>
          <w:szCs w:val="24"/>
          <w:highlight w:val="none"/>
        </w:rPr>
        <w:t>单位负责人为同一人或者存在直接控股、管理关系的不同供应商，不得同时参与此次</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w:t>
      </w:r>
    </w:p>
    <w:p w14:paraId="2D231FC6">
      <w:pPr>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7.本项目不接受联合体参与评审。</w:t>
      </w:r>
    </w:p>
    <w:p w14:paraId="4F3B819E">
      <w:pPr>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8.不允许分包、转包。</w:t>
      </w:r>
    </w:p>
    <w:p w14:paraId="250E0E3F">
      <w:pPr>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w:t>
      </w:r>
    </w:p>
    <w:p w14:paraId="77B9AFCC">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10.采购人应当自</w:t>
      </w:r>
      <w:r>
        <w:rPr>
          <w:rFonts w:hint="eastAsia" w:ascii="宋体" w:hAnsi="宋体" w:eastAsia="宋体" w:cs="宋体"/>
          <w:color w:val="auto"/>
          <w:sz w:val="24"/>
          <w:szCs w:val="24"/>
          <w:highlight w:val="none"/>
          <w:lang w:val="en-US" w:eastAsia="zh-CN"/>
        </w:rPr>
        <w:t>成交结果公示</w:t>
      </w:r>
      <w:r>
        <w:rPr>
          <w:rFonts w:hint="eastAsia" w:ascii="宋体" w:hAnsi="宋体" w:eastAsia="宋体" w:cs="宋体"/>
          <w:color w:val="auto"/>
          <w:sz w:val="24"/>
          <w:szCs w:val="24"/>
          <w:highlight w:val="none"/>
        </w:rPr>
        <w:t>之日起二十日内，按照</w:t>
      </w:r>
      <w:r>
        <w:rPr>
          <w:rFonts w:hint="eastAsia" w:ascii="宋体" w:hAnsi="宋体" w:eastAsia="宋体" w:cs="宋体"/>
          <w:color w:val="auto"/>
          <w:sz w:val="24"/>
          <w:szCs w:val="24"/>
          <w:highlight w:val="none"/>
          <w:lang w:val="en-US" w:eastAsia="zh-CN"/>
        </w:rPr>
        <w:t>询比</w:t>
      </w:r>
      <w:r>
        <w:rPr>
          <w:rFonts w:hint="eastAsia" w:ascii="宋体" w:hAnsi="宋体" w:eastAsia="宋体" w:cs="宋体"/>
          <w:color w:val="auto"/>
          <w:sz w:val="24"/>
          <w:szCs w:val="24"/>
          <w:highlight w:val="none"/>
        </w:rPr>
        <w:t>文件和成交供应商响应文件的约定，与成交供应商签订书面合同。所签订的合同不得对</w:t>
      </w:r>
      <w:r>
        <w:rPr>
          <w:rFonts w:hint="eastAsia" w:ascii="宋体" w:hAnsi="宋体" w:cs="宋体"/>
          <w:color w:val="auto"/>
          <w:sz w:val="24"/>
          <w:szCs w:val="24"/>
          <w:highlight w:val="none"/>
          <w:lang w:val="en-US" w:eastAsia="zh-CN"/>
        </w:rPr>
        <w:t>询比</w:t>
      </w:r>
      <w:r>
        <w:rPr>
          <w:rFonts w:hint="eastAsia" w:ascii="宋体" w:hAnsi="宋体" w:eastAsia="宋体" w:cs="宋体"/>
          <w:color w:val="auto"/>
          <w:sz w:val="24"/>
          <w:szCs w:val="24"/>
          <w:highlight w:val="none"/>
        </w:rPr>
        <w:t>文件和供应商的响应文件作实质性修改。</w:t>
      </w:r>
    </w:p>
    <w:p w14:paraId="4867EE6B">
      <w:pPr>
        <w:snapToGrid w:val="0"/>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11.成交供应商在二十日内拒绝和采购人签订书面合同的、</w:t>
      </w:r>
      <w:r>
        <w:rPr>
          <w:rFonts w:hint="eastAsia" w:ascii="宋体" w:hAnsi="宋体" w:eastAsia="宋体" w:cs="宋体"/>
          <w:color w:val="auto"/>
          <w:sz w:val="24"/>
          <w:szCs w:val="24"/>
          <w:highlight w:val="none"/>
        </w:rPr>
        <w:t>成交供应商放弃成交资格、因不可抗力不能履行合同、在合同签订前（或合同已签订但尚未履行的，撤销合同的）被查实响应文件存在弄虚作假或者被查实其他违法行为等情形的，采购人可以按照评标报告推荐的成交候选供应商顺序，确定排名下一位的候选人为成交供应商，也可以重新开展</w:t>
      </w:r>
      <w:r>
        <w:rPr>
          <w:rFonts w:hint="eastAsia" w:ascii="宋体" w:hAnsi="宋体" w:eastAsia="宋体" w:cs="宋体"/>
          <w:color w:val="auto"/>
          <w:sz w:val="24"/>
          <w:szCs w:val="24"/>
          <w:highlight w:val="none"/>
          <w:lang w:val="en-US" w:eastAsia="zh-CN"/>
        </w:rPr>
        <w:t>询比</w:t>
      </w:r>
      <w:r>
        <w:rPr>
          <w:rFonts w:hint="eastAsia" w:ascii="宋体" w:hAnsi="宋体" w:eastAsia="宋体" w:cs="宋体"/>
          <w:color w:val="auto"/>
          <w:sz w:val="24"/>
          <w:szCs w:val="24"/>
          <w:highlight w:val="none"/>
        </w:rPr>
        <w:t>采购活动。</w:t>
      </w:r>
    </w:p>
    <w:p w14:paraId="417EC48E">
      <w:pPr>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其他未尽事宜由供需双方在采购合同中详细约定。</w:t>
      </w:r>
      <w:r>
        <w:rPr>
          <w:rFonts w:ascii="宋体" w:hAnsi="宋体" w:cs="宋体"/>
          <w:color w:val="auto"/>
          <w:sz w:val="24"/>
          <w:szCs w:val="24"/>
          <w:highlight w:val="none"/>
        </w:rPr>
        <w:br w:type="page"/>
      </w:r>
    </w:p>
    <w:p w14:paraId="013858C0">
      <w:pPr>
        <w:pStyle w:val="4"/>
        <w:spacing w:line="440" w:lineRule="exact"/>
        <w:ind w:firstLine="482" w:firstLineChars="200"/>
        <w:rPr>
          <w:rFonts w:hint="eastAsia" w:ascii="宋体" w:hAnsi="宋体" w:eastAsia="宋体" w:cs="宋体"/>
          <w:color w:val="auto"/>
          <w:sz w:val="24"/>
          <w:szCs w:val="24"/>
          <w:highlight w:val="none"/>
        </w:rPr>
      </w:pPr>
      <w:bookmarkStart w:id="0" w:name="_Toc29974"/>
      <w:bookmarkStart w:id="1" w:name="_Toc22527"/>
      <w:bookmarkStart w:id="2" w:name="_Toc9383"/>
      <w:bookmarkStart w:id="3" w:name="_Toc4905"/>
      <w:bookmarkStart w:id="4" w:name="_Toc29396"/>
      <w:bookmarkStart w:id="5" w:name="_Toc22876"/>
      <w:bookmarkStart w:id="6" w:name="_Toc31704"/>
      <w:bookmarkStart w:id="7" w:name="_Toc26462"/>
      <w:bookmarkStart w:id="8" w:name="_Toc7138"/>
      <w:bookmarkStart w:id="9" w:name="_Toc12789072"/>
      <w:bookmarkStart w:id="10" w:name="_Toc18883"/>
      <w:bookmarkStart w:id="11" w:name="_Toc4385"/>
      <w:bookmarkStart w:id="12" w:name="_Toc25180"/>
      <w:bookmarkStart w:id="13" w:name="_Toc22073"/>
      <w:bookmarkStart w:id="14" w:name="_Toc16028"/>
      <w:bookmarkStart w:id="15" w:name="_Toc10403"/>
      <w:bookmarkStart w:id="16" w:name="_Toc1282"/>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十一、</w:t>
      </w:r>
      <w:r>
        <w:rPr>
          <w:rFonts w:hint="eastAsia" w:ascii="宋体" w:hAnsi="宋体" w:eastAsia="宋体" w:cs="宋体"/>
          <w:color w:val="auto"/>
          <w:sz w:val="24"/>
          <w:szCs w:val="24"/>
          <w:highlight w:val="none"/>
        </w:rPr>
        <w:t xml:space="preserve">  响应文件格式要求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538E422B">
      <w:pPr>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一、经济文件</w:t>
      </w:r>
    </w:p>
    <w:p w14:paraId="39B05890">
      <w:pPr>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w:t>
      </w:r>
      <w:r>
        <w:rPr>
          <w:rFonts w:hint="eastAsia" w:ascii="宋体" w:hAnsi="宋体" w:cs="宋体"/>
          <w:color w:val="auto"/>
          <w:sz w:val="24"/>
          <w:szCs w:val="24"/>
          <w:highlight w:val="none"/>
          <w:lang w:val="en-US" w:eastAsia="zh-CN"/>
        </w:rPr>
        <w:t>报价</w:t>
      </w:r>
      <w:r>
        <w:rPr>
          <w:rFonts w:hint="eastAsia" w:ascii="宋体" w:hAnsi="宋体" w:cs="宋体"/>
          <w:color w:val="auto"/>
          <w:sz w:val="24"/>
          <w:szCs w:val="24"/>
          <w:highlight w:val="none"/>
        </w:rPr>
        <w:t>表</w:t>
      </w:r>
    </w:p>
    <w:p w14:paraId="305807C3">
      <w:pPr>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二、服务文件</w:t>
      </w:r>
    </w:p>
    <w:p w14:paraId="5FB8B09A">
      <w:pPr>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（一）服务方案</w:t>
      </w:r>
    </w:p>
    <w:p w14:paraId="1D18B5B0">
      <w:pPr>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三、商务文件</w:t>
      </w:r>
    </w:p>
    <w:p w14:paraId="4B3EDFF9">
      <w:pPr>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（一）</w:t>
      </w:r>
      <w:r>
        <w:rPr>
          <w:rFonts w:hint="eastAsia" w:ascii="宋体" w:hAnsi="宋体" w:cs="宋体"/>
          <w:color w:val="auto"/>
          <w:sz w:val="24"/>
          <w:szCs w:val="24"/>
          <w:highlight w:val="none"/>
          <w:lang w:val="en-US" w:eastAsia="zh-CN"/>
        </w:rPr>
        <w:t>商务方案</w:t>
      </w:r>
    </w:p>
    <w:p w14:paraId="7B5D65B0">
      <w:pPr>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、资格文件</w:t>
      </w:r>
    </w:p>
    <w:p w14:paraId="6E39A05F">
      <w:pPr>
        <w:tabs>
          <w:tab w:val="left" w:pos="6300"/>
        </w:tabs>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6EE643C5">
      <w:pPr>
        <w:tabs>
          <w:tab w:val="left" w:pos="6300"/>
        </w:tabs>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（二）法定代表人身份证明书（格式）</w:t>
      </w:r>
    </w:p>
    <w:p w14:paraId="2C0B2CC0">
      <w:pPr>
        <w:tabs>
          <w:tab w:val="left" w:pos="6300"/>
        </w:tabs>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（三）法定代表人授权委托书（格式）</w:t>
      </w:r>
    </w:p>
    <w:p w14:paraId="044F25D2">
      <w:pPr>
        <w:tabs>
          <w:tab w:val="left" w:pos="6300"/>
        </w:tabs>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6AEB3DEC">
      <w:pPr>
        <w:ind w:firstLine="560" w:firstLineChars="200"/>
        <w:rPr>
          <w:rFonts w:hint="eastAsia"/>
          <w:color w:val="auto"/>
          <w:highlight w:val="none"/>
        </w:rPr>
      </w:pPr>
      <w:r>
        <w:rPr>
          <w:rFonts w:hint="eastAsia"/>
          <w:color w:val="auto"/>
          <w:highlight w:val="none"/>
        </w:rPr>
        <w:br w:type="page"/>
      </w:r>
    </w:p>
    <w:p w14:paraId="239DCDA3">
      <w:pPr>
        <w:ind w:firstLine="560" w:firstLineChars="200"/>
        <w:rPr>
          <w:color w:val="auto"/>
          <w:highlight w:val="none"/>
        </w:rPr>
      </w:pPr>
      <w:r>
        <w:rPr>
          <w:rFonts w:hint="eastAsia"/>
          <w:color w:val="auto"/>
          <w:highlight w:val="none"/>
          <w:lang w:val="en-US" w:eastAsia="zh-CN"/>
        </w:rPr>
        <w:t>一、经济文件</w:t>
      </w:r>
    </w:p>
    <w:p w14:paraId="69F89B78">
      <w:pPr>
        <w:tabs>
          <w:tab w:val="left" w:pos="6300"/>
        </w:tabs>
        <w:snapToGrid w:val="0"/>
        <w:spacing w:line="360" w:lineRule="auto"/>
        <w:ind w:firstLine="723" w:firstLineChars="200"/>
        <w:jc w:val="center"/>
        <w:rPr>
          <w:rFonts w:hint="eastAsia" w:ascii="宋体" w:hAnsi="宋体" w:eastAsia="宋体" w:cs="宋体"/>
          <w:b/>
          <w:color w:val="auto"/>
          <w:sz w:val="36"/>
          <w:szCs w:val="36"/>
          <w:highlight w:val="none"/>
          <w:lang w:eastAsia="zh-CN"/>
        </w:rPr>
      </w:pPr>
      <w:r>
        <w:rPr>
          <w:rFonts w:hint="eastAsia" w:ascii="宋体" w:hAnsi="宋体" w:cs="宋体"/>
          <w:b/>
          <w:color w:val="auto"/>
          <w:sz w:val="36"/>
          <w:szCs w:val="36"/>
          <w:highlight w:val="none"/>
        </w:rPr>
        <w:t>报价</w:t>
      </w:r>
      <w:r>
        <w:rPr>
          <w:rFonts w:hint="eastAsia" w:ascii="宋体" w:hAnsi="宋体" w:cs="宋体"/>
          <w:b/>
          <w:color w:val="auto"/>
          <w:sz w:val="36"/>
          <w:szCs w:val="36"/>
          <w:highlight w:val="none"/>
          <w:lang w:val="en-US" w:eastAsia="zh-CN"/>
        </w:rPr>
        <w:t>表</w:t>
      </w:r>
    </w:p>
    <w:p w14:paraId="67E625DC">
      <w:pPr>
        <w:tabs>
          <w:tab w:val="left" w:pos="6300"/>
        </w:tabs>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u w:val="single"/>
          <w:lang w:val="en-US" w:eastAsia="zh-CN"/>
        </w:rPr>
        <w:t>重庆市文物考古研究院（重庆文化遗产保护中心）</w:t>
      </w:r>
      <w:r>
        <w:rPr>
          <w:rFonts w:hint="eastAsia" w:ascii="宋体" w:hAnsi="宋体" w:cs="宋体"/>
          <w:color w:val="auto"/>
          <w:sz w:val="24"/>
          <w:szCs w:val="24"/>
          <w:highlight w:val="none"/>
        </w:rPr>
        <w:t>：</w:t>
      </w:r>
    </w:p>
    <w:p w14:paraId="210D2256">
      <w:pPr>
        <w:tabs>
          <w:tab w:val="left" w:pos="6300"/>
        </w:tabs>
        <w:snapToGrid w:val="0"/>
        <w:spacing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我方收到（</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项目名称）的</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文件，经详细研究，决定参加该</w:t>
      </w:r>
      <w:r>
        <w:rPr>
          <w:rFonts w:hint="eastAsia" w:ascii="宋体" w:hAnsi="宋体" w:cs="宋体"/>
          <w:color w:val="auto"/>
          <w:sz w:val="24"/>
          <w:szCs w:val="24"/>
          <w:highlight w:val="none"/>
          <w:lang w:eastAsia="zh-CN"/>
        </w:rPr>
        <w:t>询比</w:t>
      </w:r>
      <w:r>
        <w:rPr>
          <w:rFonts w:hint="eastAsia" w:ascii="宋体" w:hAnsi="宋体" w:cs="宋体"/>
          <w:color w:val="auto"/>
          <w:sz w:val="24"/>
          <w:szCs w:val="24"/>
          <w:highlight w:val="none"/>
        </w:rPr>
        <w:t>项目的报价。</w:t>
      </w:r>
    </w:p>
    <w:p w14:paraId="3BB623FF">
      <w:pPr>
        <w:tabs>
          <w:tab w:val="left" w:pos="6300"/>
        </w:tabs>
        <w:snapToGrid w:val="0"/>
        <w:spacing w:line="360" w:lineRule="auto"/>
        <w:ind w:left="278" w:leftChars="0"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我方</w:t>
      </w:r>
      <w:r>
        <w:rPr>
          <w:rFonts w:hint="eastAsia" w:ascii="宋体" w:hAnsi="宋体" w:cs="宋体"/>
          <w:color w:val="auto"/>
          <w:sz w:val="24"/>
          <w:szCs w:val="24"/>
          <w:highlight w:val="none"/>
        </w:rPr>
        <w:t>愿意按照</w:t>
      </w:r>
      <w:r>
        <w:rPr>
          <w:rFonts w:hint="eastAsia" w:ascii="宋体" w:hAnsi="宋体" w:cs="宋体"/>
          <w:color w:val="auto"/>
          <w:sz w:val="24"/>
          <w:szCs w:val="24"/>
          <w:highlight w:val="none"/>
          <w:lang w:val="en-US" w:eastAsia="zh-CN"/>
        </w:rPr>
        <w:t>询比</w:t>
      </w:r>
      <w:r>
        <w:rPr>
          <w:rFonts w:hint="eastAsia" w:ascii="宋体" w:hAnsi="宋体" w:cs="宋体"/>
          <w:color w:val="auto"/>
          <w:sz w:val="24"/>
          <w:szCs w:val="24"/>
          <w:highlight w:val="none"/>
        </w:rPr>
        <w:t>文件中的一切要求，提供本项目的服务，最终报价为人民币</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10ECB902">
      <w:pPr>
        <w:tabs>
          <w:tab w:val="left" w:pos="6300"/>
        </w:tabs>
        <w:snapToGrid w:val="0"/>
        <w:spacing w:line="360" w:lineRule="auto"/>
        <w:ind w:left="278"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我方完全理解并接受该项目</w:t>
      </w:r>
      <w:r>
        <w:rPr>
          <w:rFonts w:hint="eastAsia" w:ascii="宋体" w:hAnsi="宋体" w:eastAsia="宋体" w:cs="宋体"/>
          <w:color w:val="auto"/>
          <w:sz w:val="24"/>
          <w:szCs w:val="24"/>
          <w:highlight w:val="none"/>
          <w:lang w:eastAsia="zh-CN"/>
        </w:rPr>
        <w:t>询比</w:t>
      </w:r>
      <w:r>
        <w:rPr>
          <w:rFonts w:hint="eastAsia" w:ascii="宋体" w:hAnsi="宋体" w:eastAsia="宋体" w:cs="宋体"/>
          <w:color w:val="auto"/>
          <w:sz w:val="24"/>
          <w:szCs w:val="24"/>
          <w:highlight w:val="none"/>
        </w:rPr>
        <w:t>文件所有要求。</w:t>
      </w:r>
    </w:p>
    <w:p w14:paraId="5860BD08">
      <w:pPr>
        <w:tabs>
          <w:tab w:val="left" w:pos="6300"/>
        </w:tabs>
        <w:snapToGrid w:val="0"/>
        <w:spacing w:line="360" w:lineRule="auto"/>
        <w:ind w:left="278"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我方提交的所有文件、资料都是准确和真实的，如有虚假或隐瞒，我方愿意承担一切法律责任。</w:t>
      </w:r>
    </w:p>
    <w:p w14:paraId="1BE6B98B">
      <w:pPr>
        <w:tabs>
          <w:tab w:val="left" w:pos="6300"/>
        </w:tabs>
        <w:snapToGrid w:val="0"/>
        <w:spacing w:line="360" w:lineRule="auto"/>
        <w:ind w:left="278"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我方承诺按照</w:t>
      </w:r>
      <w:r>
        <w:rPr>
          <w:rFonts w:hint="eastAsia" w:ascii="宋体" w:hAnsi="宋体" w:eastAsia="宋体" w:cs="宋体"/>
          <w:color w:val="auto"/>
          <w:sz w:val="24"/>
          <w:szCs w:val="24"/>
          <w:highlight w:val="none"/>
          <w:lang w:eastAsia="zh-CN"/>
        </w:rPr>
        <w:t>询比</w:t>
      </w:r>
      <w:r>
        <w:rPr>
          <w:rFonts w:hint="eastAsia" w:ascii="宋体" w:hAnsi="宋体" w:eastAsia="宋体" w:cs="宋体"/>
          <w:color w:val="auto"/>
          <w:sz w:val="24"/>
          <w:szCs w:val="24"/>
          <w:highlight w:val="none"/>
        </w:rPr>
        <w:t>文件要求，提供招标项目的服务。</w:t>
      </w:r>
    </w:p>
    <w:p w14:paraId="69663241">
      <w:pPr>
        <w:tabs>
          <w:tab w:val="left" w:pos="6300"/>
        </w:tabs>
        <w:snapToGrid w:val="0"/>
        <w:spacing w:line="360" w:lineRule="auto"/>
        <w:ind w:left="278"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我方按</w:t>
      </w:r>
      <w:r>
        <w:rPr>
          <w:rFonts w:hint="eastAsia" w:ascii="宋体" w:hAnsi="宋体" w:eastAsia="宋体" w:cs="宋体"/>
          <w:color w:val="auto"/>
          <w:sz w:val="24"/>
          <w:szCs w:val="24"/>
          <w:highlight w:val="none"/>
          <w:lang w:eastAsia="zh-CN"/>
        </w:rPr>
        <w:t>询比</w:t>
      </w:r>
      <w:r>
        <w:rPr>
          <w:rFonts w:hint="eastAsia" w:ascii="宋体" w:hAnsi="宋体" w:eastAsia="宋体" w:cs="宋体"/>
          <w:color w:val="auto"/>
          <w:sz w:val="24"/>
          <w:szCs w:val="24"/>
          <w:highlight w:val="none"/>
        </w:rPr>
        <w:t>文件要求提交的</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文件为：正本1份，副本1份。</w:t>
      </w:r>
    </w:p>
    <w:p w14:paraId="6A0951D2">
      <w:pPr>
        <w:tabs>
          <w:tab w:val="left" w:pos="6300"/>
        </w:tabs>
        <w:snapToGrid w:val="0"/>
        <w:spacing w:line="360" w:lineRule="auto"/>
        <w:ind w:left="278"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我方报价为闭口价。即在有效期和合同有效期内，该报价固定不变。</w:t>
      </w:r>
    </w:p>
    <w:p w14:paraId="6278DA95">
      <w:pPr>
        <w:tabs>
          <w:tab w:val="left" w:pos="6300"/>
        </w:tabs>
        <w:snapToGrid w:val="0"/>
        <w:spacing w:line="360" w:lineRule="auto"/>
        <w:ind w:left="278"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如果我方成交，我方将履行</w:t>
      </w:r>
      <w:r>
        <w:rPr>
          <w:rFonts w:hint="eastAsia" w:ascii="宋体" w:hAnsi="宋体" w:eastAsia="宋体" w:cs="宋体"/>
          <w:color w:val="auto"/>
          <w:sz w:val="24"/>
          <w:szCs w:val="24"/>
          <w:highlight w:val="none"/>
          <w:lang w:eastAsia="zh-CN"/>
        </w:rPr>
        <w:t>询比</w:t>
      </w:r>
      <w:r>
        <w:rPr>
          <w:rFonts w:hint="eastAsia" w:ascii="宋体" w:hAnsi="宋体" w:eastAsia="宋体" w:cs="宋体"/>
          <w:color w:val="auto"/>
          <w:sz w:val="24"/>
          <w:szCs w:val="24"/>
          <w:highlight w:val="none"/>
        </w:rPr>
        <w:t>文件中规定的各项要求以及我方文件的各项承诺，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中华人民共和国政府采购法》、《中华人民共和国民法典》及合同约定条款承担我方责任。</w:t>
      </w:r>
    </w:p>
    <w:p w14:paraId="22B3E49C">
      <w:pPr>
        <w:tabs>
          <w:tab w:val="left" w:pos="6300"/>
        </w:tabs>
        <w:snapToGrid w:val="0"/>
        <w:spacing w:line="360" w:lineRule="auto"/>
        <w:ind w:left="278"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我方理解，最低报价不是成交的唯一条件。</w:t>
      </w:r>
    </w:p>
    <w:p w14:paraId="4A0E94ED">
      <w:pPr>
        <w:tabs>
          <w:tab w:val="left" w:pos="6300"/>
        </w:tabs>
        <w:snapToGrid w:val="0"/>
        <w:spacing w:line="360" w:lineRule="auto"/>
        <w:ind w:left="278"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我方同意按有关规定及</w:t>
      </w:r>
      <w:r>
        <w:rPr>
          <w:rFonts w:hint="eastAsia" w:ascii="宋体" w:hAnsi="宋体" w:eastAsia="宋体" w:cs="宋体"/>
          <w:color w:val="auto"/>
          <w:sz w:val="24"/>
          <w:szCs w:val="24"/>
          <w:highlight w:val="none"/>
          <w:lang w:eastAsia="zh-CN"/>
        </w:rPr>
        <w:t>询比</w:t>
      </w:r>
      <w:r>
        <w:rPr>
          <w:rFonts w:hint="eastAsia" w:ascii="宋体" w:hAnsi="宋体" w:eastAsia="宋体" w:cs="宋体"/>
          <w:color w:val="auto"/>
          <w:sz w:val="24"/>
          <w:szCs w:val="24"/>
          <w:highlight w:val="none"/>
        </w:rPr>
        <w:t>文件要求。</w:t>
      </w:r>
    </w:p>
    <w:p w14:paraId="65E6781E">
      <w:pPr>
        <w:tabs>
          <w:tab w:val="left" w:pos="6300"/>
        </w:tabs>
        <w:snapToGrid w:val="0"/>
        <w:spacing w:line="360" w:lineRule="auto"/>
        <w:ind w:left="478" w:leftChars="85" w:hanging="240" w:hangingChars="100"/>
        <w:rPr>
          <w:rFonts w:hint="eastAsia" w:ascii="宋体" w:hAnsi="宋体" w:eastAsia="宋体" w:cs="宋体"/>
          <w:color w:val="auto"/>
          <w:sz w:val="24"/>
          <w:szCs w:val="24"/>
          <w:highlight w:val="none"/>
        </w:rPr>
      </w:pPr>
    </w:p>
    <w:p w14:paraId="0B65703E">
      <w:pPr>
        <w:tabs>
          <w:tab w:val="left" w:pos="6300"/>
        </w:tabs>
        <w:snapToGrid w:val="0"/>
        <w:spacing w:line="360" w:lineRule="auto"/>
        <w:ind w:firstLine="570"/>
        <w:rPr>
          <w:rFonts w:ascii="宋体" w:hAnsi="宋体" w:cs="宋体"/>
          <w:color w:val="auto"/>
          <w:sz w:val="24"/>
          <w:szCs w:val="24"/>
          <w:highlight w:val="none"/>
        </w:rPr>
      </w:pPr>
    </w:p>
    <w:p w14:paraId="646D879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left="0" w:leftChars="0"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09D822FB">
      <w:pPr>
        <w:pStyle w:val="11"/>
        <w:keepNext w:val="0"/>
        <w:keepLines w:val="0"/>
        <w:pageBreakBefore w:val="0"/>
        <w:widowControl w:val="0"/>
        <w:kinsoku/>
        <w:wordWrap/>
        <w:overflowPunct/>
        <w:topLinePunct w:val="0"/>
        <w:autoSpaceDE/>
        <w:autoSpaceDN/>
        <w:bidi w:val="0"/>
        <w:adjustRightInd/>
        <w:snapToGrid w:val="0"/>
        <w:ind w:left="0" w:leftChars="0" w:firstLine="480" w:firstLineChars="200"/>
        <w:textAlignment w:val="auto"/>
        <w:rPr>
          <w:rFonts w:eastAsia="宋体"/>
          <w:color w:val="auto"/>
          <w:highlight w:val="none"/>
        </w:rPr>
      </w:pPr>
      <w:r>
        <w:rPr>
          <w:rFonts w:hint="eastAsia" w:eastAsia="宋体" w:cs="宋体"/>
          <w:color w:val="auto"/>
          <w:szCs w:val="24"/>
          <w:highlight w:val="none"/>
        </w:rPr>
        <w:t>法定代表人（签字）：</w:t>
      </w:r>
    </w:p>
    <w:p w14:paraId="5E62845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 xml:space="preserve">地址：  </w:t>
      </w:r>
      <w:r>
        <w:rPr>
          <w:rFonts w:hint="eastAsia" w:ascii="宋体" w:hAnsi="宋体" w:cs="宋体"/>
          <w:color w:val="auto"/>
          <w:sz w:val="24"/>
          <w:szCs w:val="24"/>
          <w:highlight w:val="none"/>
          <w:lang w:val="en-US" w:eastAsia="zh-CN"/>
        </w:rPr>
        <w:t xml:space="preserve"> </w:t>
      </w:r>
    </w:p>
    <w:p w14:paraId="727736D5">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6153765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3815810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联系人：</w:t>
      </w:r>
    </w:p>
    <w:p w14:paraId="1B3E39A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7DEA6841">
      <w:pPr>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br w:type="page"/>
      </w:r>
    </w:p>
    <w:p w14:paraId="34138520">
      <w:pPr>
        <w:keepNext w:val="0"/>
        <w:keepLines w:val="0"/>
        <w:pageBreakBefore w:val="0"/>
        <w:widowControl w:val="0"/>
        <w:numPr>
          <w:ilvl w:val="0"/>
          <w:numId w:val="1"/>
        </w:numPr>
        <w:kinsoku/>
        <w:wordWrap/>
        <w:overflowPunct/>
        <w:topLinePunct w:val="0"/>
        <w:autoSpaceDE/>
        <w:autoSpaceDN/>
        <w:bidi w:val="0"/>
        <w:adjustRightInd w:val="0"/>
        <w:snapToGrid w:val="0"/>
        <w:ind w:firstLine="56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服务文件</w:t>
      </w:r>
    </w:p>
    <w:p w14:paraId="1B79AC50">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（一）服务方案</w:t>
      </w:r>
    </w:p>
    <w:p w14:paraId="7D50F20A">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2032646A">
      <w:pPr>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56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商务文件</w:t>
      </w:r>
    </w:p>
    <w:p w14:paraId="04CD841D">
      <w:pPr>
        <w:pStyle w:val="2"/>
        <w:keepNext w:val="0"/>
        <w:keepLines w:val="0"/>
        <w:pageBreakBefore w:val="0"/>
        <w:widowControl w:val="0"/>
        <w:numPr>
          <w:ilvl w:val="0"/>
          <w:numId w:val="0"/>
        </w:numPr>
        <w:kinsoku/>
        <w:wordWrap/>
        <w:overflowPunct/>
        <w:topLinePunct w:val="0"/>
        <w:autoSpaceDE/>
        <w:autoSpaceDN/>
        <w:bidi w:val="0"/>
        <w:adjustRightInd w:val="0"/>
        <w:snapToGrid w:val="0"/>
        <w:ind w:firstLine="640" w:firstLineChars="200"/>
        <w:jc w:val="both"/>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（一）售后方案</w:t>
      </w:r>
    </w:p>
    <w:p w14:paraId="7680F392">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70241906">
      <w:pPr>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56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资格文件</w:t>
      </w:r>
    </w:p>
    <w:p w14:paraId="52EE4AFA">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（一）营业执照（副本）或事业单位法人证书（副本）复印件</w:t>
      </w:r>
    </w:p>
    <w:p w14:paraId="5A4F3883">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49F49167">
      <w:pPr>
        <w:keepNext w:val="0"/>
        <w:keepLines w:val="0"/>
        <w:pageBreakBefore w:val="0"/>
        <w:widowControl w:val="0"/>
        <w:numPr>
          <w:ilvl w:val="0"/>
          <w:numId w:val="2"/>
        </w:numPr>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法定代表人身份证明书（格式）</w:t>
      </w:r>
    </w:p>
    <w:p w14:paraId="3E51222E">
      <w:pPr>
        <w:keepNext w:val="0"/>
        <w:keepLines w:val="0"/>
        <w:pageBreakBefore w:val="0"/>
        <w:widowControl w:val="0"/>
        <w:numPr>
          <w:ilvl w:val="0"/>
          <w:numId w:val="0"/>
        </w:numPr>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rPr>
        <w:t xml:space="preserve">                                                </w:t>
      </w:r>
    </w:p>
    <w:p w14:paraId="710FB18E">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7B1EB766">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重庆市文物考古研究院（重庆文化遗产保护中心）</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1DB01E71">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（法定代表人姓名）在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（职务名称）职务，是（供应商名称）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的法定代表人。</w:t>
      </w:r>
    </w:p>
    <w:p w14:paraId="02047E2D">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2134C1E5">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620F9C9F">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0D3BECEA">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30903B1B">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7DB2F2EB">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（供应商公章）</w:t>
      </w:r>
    </w:p>
    <w:p w14:paraId="71CA5906">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42E9DC2E">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p w14:paraId="34A9BA8E">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6A29F69B">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法定代表人电话：XXXXXXX      电子邮箱：XXXXXX@XXXXX（若授权他人办理并签署</w:t>
      </w:r>
      <w:r>
        <w:rPr>
          <w:rFonts w:hint="eastAsia" w:ascii="宋体" w:hAnsi="宋体" w:cs="宋体"/>
          <w:color w:val="auto"/>
          <w:sz w:val="24"/>
          <w:highlight w:val="none"/>
          <w:lang w:val="en-US" w:eastAsia="zh-CN"/>
        </w:rPr>
        <w:t>响应</w:t>
      </w:r>
      <w:r>
        <w:rPr>
          <w:rFonts w:hint="eastAsia" w:ascii="宋体" w:hAnsi="宋体" w:eastAsia="宋体" w:cs="宋体"/>
          <w:color w:val="auto"/>
          <w:sz w:val="24"/>
          <w:highlight w:val="none"/>
        </w:rPr>
        <w:t>文件的可不填写）</w:t>
      </w:r>
    </w:p>
    <w:p w14:paraId="540B1CBE">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（附：法定代表人身份证正反面复印件）</w:t>
      </w:r>
    </w:p>
    <w:p w14:paraId="3679CFE3">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6103CA6B">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6813F2F0">
      <w:pPr>
        <w:keepNext w:val="0"/>
        <w:keepLines w:val="0"/>
        <w:pageBreakBefore w:val="0"/>
        <w:widowControl w:val="0"/>
        <w:numPr>
          <w:ilvl w:val="0"/>
          <w:numId w:val="2"/>
        </w:numPr>
        <w:tabs>
          <w:tab w:val="left" w:pos="6300"/>
        </w:tabs>
        <w:kinsoku/>
        <w:wordWrap/>
        <w:overflowPunct/>
        <w:topLinePunct w:val="0"/>
        <w:autoSpaceDE/>
        <w:autoSpaceDN/>
        <w:bidi w:val="0"/>
        <w:adjustRightInd w:val="0"/>
        <w:snapToGrid w:val="0"/>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法定代表人授权委托书（格式）</w:t>
      </w:r>
    </w:p>
    <w:p w14:paraId="29A9962C">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szCs w:val="28"/>
          <w:highlight w:val="none"/>
        </w:rPr>
      </w:pPr>
    </w:p>
    <w:p w14:paraId="0DCBC662">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8"/>
          <w:highlight w:val="none"/>
        </w:rPr>
        <w:t>项目名称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p>
    <w:p w14:paraId="4EA194CA">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5DA6E00D">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重庆市文物考古研究院（重庆文化遗产保护中心）</w:t>
      </w:r>
      <w:r>
        <w:rPr>
          <w:rFonts w:hint="eastAsia" w:ascii="宋体" w:hAnsi="宋体" w:eastAsia="宋体" w:cs="宋体"/>
          <w:color w:val="auto"/>
          <w:sz w:val="24"/>
          <w:highlight w:val="none"/>
        </w:rPr>
        <w:t>：</w:t>
      </w:r>
    </w:p>
    <w:p w14:paraId="25AD96F5">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（供应商法定代表人名称）是</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（供应商名称）的法定代表人，特授权</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（被授权人姓名及身份证代码）代表我单位全权办理上述项目的</w:t>
      </w:r>
      <w:r>
        <w:rPr>
          <w:rFonts w:hint="eastAsia" w:ascii="宋体" w:hAnsi="宋体" w:cs="宋体"/>
          <w:color w:val="auto"/>
          <w:sz w:val="24"/>
          <w:highlight w:val="none"/>
          <w:lang w:val="en-US" w:eastAsia="zh-CN"/>
        </w:rPr>
        <w:t>响应</w:t>
      </w:r>
      <w:r>
        <w:rPr>
          <w:rFonts w:hint="eastAsia" w:ascii="宋体" w:hAnsi="宋体" w:eastAsia="宋体" w:cs="宋体"/>
          <w:color w:val="auto"/>
          <w:sz w:val="24"/>
          <w:highlight w:val="none"/>
        </w:rPr>
        <w:t>、谈判、签约等具体工作，并签署全部有关文件、协议及合同。</w:t>
      </w:r>
    </w:p>
    <w:p w14:paraId="0B63FC9A">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我单位对被授权人的签字负全部责任。</w:t>
      </w:r>
    </w:p>
    <w:p w14:paraId="1815C7DC">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在撤消授权的书面通知以前，本授权书一直有效。被授权人在授权书有效期内签署的所有文件不因授权的撤消而失效。</w:t>
      </w:r>
    </w:p>
    <w:p w14:paraId="30F503D6">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53701BE3">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6824E097">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                                 供应商法定代表人：</w:t>
      </w:r>
    </w:p>
    <w:p w14:paraId="23524D13">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（签字或盖章）                                （签字或盖章）</w:t>
      </w:r>
    </w:p>
    <w:p w14:paraId="0F541800">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szCs w:val="28"/>
          <w:highlight w:val="none"/>
        </w:rPr>
      </w:pPr>
    </w:p>
    <w:p w14:paraId="55E43A24">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13A29803">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（附：被授权人身份证正反面复印件）</w:t>
      </w:r>
    </w:p>
    <w:p w14:paraId="27111F49">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16A4D775">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046F82DC">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highlight w:val="none"/>
        </w:rPr>
      </w:pPr>
    </w:p>
    <w:p w14:paraId="65C8FDCC">
      <w:pPr>
        <w:keepNext w:val="0"/>
        <w:keepLines w:val="0"/>
        <w:pageBreakBefore w:val="0"/>
        <w:widowControl w:val="0"/>
        <w:tabs>
          <w:tab w:val="left" w:pos="6300"/>
        </w:tabs>
        <w:kinsoku/>
        <w:wordWrap/>
        <w:overflowPunct/>
        <w:topLinePunct w:val="0"/>
        <w:autoSpaceDE/>
        <w:autoSpaceDN/>
        <w:bidi w:val="0"/>
        <w:adjustRightInd w:val="0"/>
        <w:snapToGrid w:val="0"/>
        <w:ind w:right="480" w:firstLine="480" w:firstLineChars="200"/>
        <w:jc w:val="righ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（供应商公章）</w:t>
      </w:r>
    </w:p>
    <w:p w14:paraId="7EA204F3">
      <w:pPr>
        <w:keepNext w:val="0"/>
        <w:keepLines w:val="0"/>
        <w:pageBreakBefore w:val="0"/>
        <w:widowControl w:val="0"/>
        <w:tabs>
          <w:tab w:val="left" w:pos="6300"/>
        </w:tabs>
        <w:kinsoku/>
        <w:wordWrap/>
        <w:overflowPunct/>
        <w:topLinePunct w:val="0"/>
        <w:autoSpaceDE/>
        <w:autoSpaceDN/>
        <w:bidi w:val="0"/>
        <w:adjustRightInd w:val="0"/>
        <w:snapToGrid w:val="0"/>
        <w:ind w:right="480" w:firstLine="480" w:firstLineChars="200"/>
        <w:jc w:val="righ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w:t>
      </w:r>
    </w:p>
    <w:p w14:paraId="350A34C1">
      <w:pPr>
        <w:keepNext w:val="0"/>
        <w:keepLines w:val="0"/>
        <w:pageBreakBefore w:val="0"/>
        <w:widowControl w:val="0"/>
        <w:tabs>
          <w:tab w:val="left" w:pos="6300"/>
        </w:tabs>
        <w:kinsoku/>
        <w:wordWrap/>
        <w:overflowPunct/>
        <w:topLinePunct w:val="0"/>
        <w:autoSpaceDE/>
        <w:autoSpaceDN/>
        <w:bidi w:val="0"/>
        <w:adjustRightInd w:val="0"/>
        <w:snapToGrid w:val="0"/>
        <w:ind w:right="48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被授权人电话：XXXXXXX     电子邮箱：XXXXXX@XXXXX（若法定代表人办理并签署</w:t>
      </w:r>
      <w:r>
        <w:rPr>
          <w:rFonts w:hint="eastAsia" w:ascii="宋体" w:hAnsi="宋体" w:cs="宋体"/>
          <w:color w:val="auto"/>
          <w:sz w:val="24"/>
          <w:highlight w:val="none"/>
          <w:lang w:val="en-US" w:eastAsia="zh-CN"/>
        </w:rPr>
        <w:t>响应</w:t>
      </w:r>
      <w:r>
        <w:rPr>
          <w:rFonts w:hint="eastAsia" w:ascii="宋体" w:hAnsi="宋体" w:eastAsia="宋体" w:cs="宋体"/>
          <w:color w:val="auto"/>
          <w:sz w:val="24"/>
          <w:highlight w:val="none"/>
        </w:rPr>
        <w:t>文件的可不填写）</w:t>
      </w:r>
    </w:p>
    <w:p w14:paraId="6CC2A676">
      <w:pPr>
        <w:keepNext w:val="0"/>
        <w:keepLines w:val="0"/>
        <w:pageBreakBefore w:val="0"/>
        <w:widowControl w:val="0"/>
        <w:tabs>
          <w:tab w:val="left" w:pos="6300"/>
        </w:tabs>
        <w:kinsoku/>
        <w:wordWrap/>
        <w:overflowPunct/>
        <w:topLinePunct w:val="0"/>
        <w:autoSpaceDE/>
        <w:autoSpaceDN/>
        <w:bidi w:val="0"/>
        <w:adjustRightInd w:val="0"/>
        <w:snapToGrid w:val="0"/>
        <w:ind w:right="48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5570D3EB">
      <w:pPr>
        <w:pStyle w:val="2"/>
        <w:keepNext w:val="0"/>
        <w:keepLines w:val="0"/>
        <w:pageBreakBefore w:val="0"/>
        <w:widowControl w:val="0"/>
        <w:numPr>
          <w:ilvl w:val="0"/>
          <w:numId w:val="0"/>
        </w:numPr>
        <w:kinsoku/>
        <w:wordWrap/>
        <w:overflowPunct/>
        <w:topLinePunct w:val="0"/>
        <w:autoSpaceDE/>
        <w:autoSpaceDN/>
        <w:bidi w:val="0"/>
        <w:adjustRightInd w:val="0"/>
        <w:snapToGrid w:val="0"/>
        <w:ind w:left="570" w:leftChars="0"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sz w:val="24"/>
          <w:highlight w:val="none"/>
        </w:rPr>
        <w:t>1.若为法定代表人办理并签署</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rPr>
        <w:t>文件的，不提供此文件。</w:t>
      </w:r>
    </w:p>
    <w:p w14:paraId="27682B47">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5D84F433">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（四）基本资格条件承诺函（格式）</w:t>
      </w:r>
    </w:p>
    <w:p w14:paraId="43FBBE71">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基本资格条件承诺函</w:t>
      </w:r>
    </w:p>
    <w:p w14:paraId="7CAA90E5">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szCs w:val="24"/>
          <w:highlight w:val="none"/>
        </w:rPr>
      </w:pPr>
    </w:p>
    <w:p w14:paraId="78DD5B46">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highlight w:val="none"/>
          <w:u w:val="single"/>
          <w:lang w:val="en-US" w:eastAsia="zh-CN"/>
        </w:rPr>
        <w:t>重庆市文物考古研究院（重庆文化遗产保护中心）</w:t>
      </w:r>
      <w:r>
        <w:rPr>
          <w:rFonts w:hint="eastAsia" w:ascii="宋体" w:hAnsi="宋体" w:eastAsia="宋体" w:cs="宋体"/>
          <w:color w:val="auto"/>
          <w:sz w:val="24"/>
          <w:szCs w:val="24"/>
          <w:highlight w:val="none"/>
        </w:rPr>
        <w:t>：</w:t>
      </w:r>
    </w:p>
    <w:p w14:paraId="0E044591">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（供应商名称）郑重承诺：</w:t>
      </w:r>
    </w:p>
    <w:p w14:paraId="35C948F3">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1.我方具有良好的商业信誉和健全的财务会计制度，具有履行合同所必需的设备和专业技术能力，具</w:t>
      </w:r>
      <w:r>
        <w:rPr>
          <w:rFonts w:hint="eastAsia" w:ascii="宋体" w:hAnsi="宋体" w:eastAsia="宋体" w:cs="宋体"/>
          <w:color w:val="auto"/>
          <w:sz w:val="24"/>
          <w:szCs w:val="24"/>
          <w:highlight w:val="none"/>
          <w:lang w:val="zh-CN"/>
        </w:rPr>
        <w:t>有依法缴纳税收和社会保障金的良好记录</w:t>
      </w:r>
      <w:r>
        <w:rPr>
          <w:rFonts w:hint="eastAsia" w:ascii="宋体" w:hAnsi="宋体" w:eastAsia="宋体" w:cs="宋体"/>
          <w:color w:val="auto"/>
          <w:sz w:val="24"/>
          <w:szCs w:val="24"/>
          <w:highlight w:val="none"/>
        </w:rPr>
        <w:t>，满足法律、行政法规规定的其他条件，参加本项目采购活动前三年内无重大违法活动记录。</w:t>
      </w:r>
    </w:p>
    <w:p w14:paraId="7DB30690">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44599E7A">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3.我方在采购项目评审（评标）环节结束后，随时接受采购人的检查验证，配合提供相关证明材料，证明符合《中华人民共和国政府采购法》规定的投标人基本资格条件。</w:t>
      </w:r>
    </w:p>
    <w:p w14:paraId="13568AED">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我方对以上承诺负全部法律责任。</w:t>
      </w:r>
    </w:p>
    <w:p w14:paraId="14FCE19F">
      <w:pPr>
        <w:keepNext w:val="0"/>
        <w:keepLines w:val="0"/>
        <w:pageBreakBefore w:val="0"/>
        <w:widowControl w:val="0"/>
        <w:tabs>
          <w:tab w:val="left" w:pos="6300"/>
        </w:tabs>
        <w:kinsoku/>
        <w:wordWrap/>
        <w:overflowPunct/>
        <w:topLinePunct w:val="0"/>
        <w:autoSpaceDE/>
        <w:autoSpaceDN/>
        <w:bidi w:val="0"/>
        <w:adjustRightInd w:val="0"/>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9247FC4">
      <w:pPr>
        <w:keepNext w:val="0"/>
        <w:keepLines w:val="0"/>
        <w:pageBreakBefore w:val="0"/>
        <w:widowControl w:val="0"/>
        <w:tabs>
          <w:tab w:val="left" w:pos="6300"/>
        </w:tabs>
        <w:kinsoku/>
        <w:wordWrap/>
        <w:overflowPunct/>
        <w:topLinePunct w:val="0"/>
        <w:autoSpaceDE/>
        <w:autoSpaceDN/>
        <w:bidi w:val="0"/>
        <w:adjustRightInd w:val="0"/>
        <w:snapToGrid w:val="0"/>
        <w:ind w:firstLine="0" w:firstLineChars="0"/>
        <w:textAlignment w:val="auto"/>
        <w:rPr>
          <w:rFonts w:hint="eastAsia" w:ascii="宋体" w:hAnsi="宋体" w:eastAsia="宋体" w:cs="宋体"/>
          <w:color w:val="auto"/>
          <w:sz w:val="24"/>
          <w:szCs w:val="24"/>
          <w:highlight w:val="none"/>
        </w:rPr>
      </w:pPr>
    </w:p>
    <w:p w14:paraId="08C87EB9">
      <w:pPr>
        <w:keepNext w:val="0"/>
        <w:keepLines w:val="0"/>
        <w:pageBreakBefore w:val="0"/>
        <w:widowControl w:val="0"/>
        <w:tabs>
          <w:tab w:val="left" w:pos="6300"/>
        </w:tabs>
        <w:kinsoku/>
        <w:wordWrap/>
        <w:overflowPunct/>
        <w:topLinePunct w:val="0"/>
        <w:autoSpaceDE/>
        <w:autoSpaceDN/>
        <w:bidi w:val="0"/>
        <w:adjustRightInd w:val="0"/>
        <w:snapToGrid w:val="0"/>
        <w:ind w:right="424"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p>
    <w:p w14:paraId="0437B3E3">
      <w:pPr>
        <w:keepNext w:val="0"/>
        <w:keepLines w:val="0"/>
        <w:pageBreakBefore w:val="0"/>
        <w:widowControl w:val="0"/>
        <w:kinsoku/>
        <w:wordWrap/>
        <w:overflowPunct/>
        <w:topLinePunct w:val="0"/>
        <w:autoSpaceDE/>
        <w:autoSpaceDN/>
        <w:bidi w:val="0"/>
        <w:adjustRightInd w:val="0"/>
        <w:snapToGrid w:val="0"/>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4840CFDD">
      <w:pPr>
        <w:pStyle w:val="2"/>
        <w:keepNext w:val="0"/>
        <w:keepLines w:val="0"/>
        <w:pageBreakBefore w:val="0"/>
        <w:widowControl w:val="0"/>
        <w:numPr>
          <w:ilvl w:val="0"/>
          <w:numId w:val="0"/>
        </w:numPr>
        <w:kinsoku/>
        <w:wordWrap/>
        <w:overflowPunct/>
        <w:topLinePunct w:val="0"/>
        <w:autoSpaceDE/>
        <w:autoSpaceDN/>
        <w:bidi w:val="0"/>
        <w:adjustRightInd w:val="0"/>
        <w:snapToGrid w:val="0"/>
        <w:ind w:leftChars="0" w:firstLine="0" w:firstLineChars="0"/>
        <w:textAlignment w:val="auto"/>
        <w:rPr>
          <w:rFonts w:hint="eastAsia" w:ascii="宋体" w:hAnsi="宋体" w:eastAsia="宋体" w:cs="宋体"/>
          <w:color w:val="auto"/>
          <w:highlight w:val="none"/>
          <w:lang w:val="en-US" w:eastAsia="zh-CN"/>
        </w:rPr>
      </w:pPr>
    </w:p>
    <w:sectPr>
      <w:footerReference r:id="rId5" w:type="default"/>
      <w:pgSz w:w="11906" w:h="16838"/>
      <w:pgMar w:top="1984" w:right="1446" w:bottom="1644" w:left="1446"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6A3D6E4-A117-4CC1-824C-15D5A5D15357}"/>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2" w:fontKey="{202A87CD-58B2-4312-AA2B-2A64F66CF23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22712">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79EFA29">
                          <w:pPr>
                            <w:pStyle w:val="9"/>
                          </w:pP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79EFA29">
                    <w:pPr>
                      <w:pStyle w:val="9"/>
                    </w:pP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ACBD7"/>
    <w:multiLevelType w:val="singleLevel"/>
    <w:tmpl w:val="1CEACBD7"/>
    <w:lvl w:ilvl="0" w:tentative="0">
      <w:start w:val="2"/>
      <w:numFmt w:val="chineseCounting"/>
      <w:suff w:val="nothing"/>
      <w:lvlText w:val="%1、"/>
      <w:lvlJc w:val="left"/>
      <w:rPr>
        <w:rFonts w:hint="eastAsia"/>
      </w:rPr>
    </w:lvl>
  </w:abstractNum>
  <w:abstractNum w:abstractNumId="1">
    <w:nsid w:val="2C7BAC3A"/>
    <w:multiLevelType w:val="singleLevel"/>
    <w:tmpl w:val="2C7BAC3A"/>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64C13"/>
    <w:rsid w:val="00086F93"/>
    <w:rsid w:val="0017384A"/>
    <w:rsid w:val="001B364E"/>
    <w:rsid w:val="001D10D5"/>
    <w:rsid w:val="00246061"/>
    <w:rsid w:val="00304D8F"/>
    <w:rsid w:val="0030640D"/>
    <w:rsid w:val="00342047"/>
    <w:rsid w:val="003548C5"/>
    <w:rsid w:val="0036487C"/>
    <w:rsid w:val="00367CE0"/>
    <w:rsid w:val="003E7BD8"/>
    <w:rsid w:val="00404D54"/>
    <w:rsid w:val="00421585"/>
    <w:rsid w:val="004A3312"/>
    <w:rsid w:val="004E3546"/>
    <w:rsid w:val="00581752"/>
    <w:rsid w:val="005F4816"/>
    <w:rsid w:val="00614881"/>
    <w:rsid w:val="006861B0"/>
    <w:rsid w:val="0073688F"/>
    <w:rsid w:val="007369A0"/>
    <w:rsid w:val="00786BF5"/>
    <w:rsid w:val="007C7BC8"/>
    <w:rsid w:val="008C4FCD"/>
    <w:rsid w:val="009923D2"/>
    <w:rsid w:val="00993073"/>
    <w:rsid w:val="00A46F64"/>
    <w:rsid w:val="00A87144"/>
    <w:rsid w:val="00AE3302"/>
    <w:rsid w:val="00C11603"/>
    <w:rsid w:val="00C313FB"/>
    <w:rsid w:val="00C646FA"/>
    <w:rsid w:val="00D115E7"/>
    <w:rsid w:val="00D119D7"/>
    <w:rsid w:val="00D13CB1"/>
    <w:rsid w:val="00D32689"/>
    <w:rsid w:val="00D70EC2"/>
    <w:rsid w:val="00DA54CF"/>
    <w:rsid w:val="00DA5DAF"/>
    <w:rsid w:val="00DB4E80"/>
    <w:rsid w:val="00E57DE3"/>
    <w:rsid w:val="00F0487F"/>
    <w:rsid w:val="00F4063A"/>
    <w:rsid w:val="00F46C9A"/>
    <w:rsid w:val="01B0664E"/>
    <w:rsid w:val="022E1402"/>
    <w:rsid w:val="022F436A"/>
    <w:rsid w:val="031464AA"/>
    <w:rsid w:val="038327FA"/>
    <w:rsid w:val="04182746"/>
    <w:rsid w:val="058B3D03"/>
    <w:rsid w:val="073D32F5"/>
    <w:rsid w:val="086230FE"/>
    <w:rsid w:val="0ACD1B3D"/>
    <w:rsid w:val="0ADD3FAE"/>
    <w:rsid w:val="0B122005"/>
    <w:rsid w:val="0B9454AB"/>
    <w:rsid w:val="0BD41410"/>
    <w:rsid w:val="0CDD2D53"/>
    <w:rsid w:val="0DC6708C"/>
    <w:rsid w:val="0E3736F1"/>
    <w:rsid w:val="103C1664"/>
    <w:rsid w:val="10E540B1"/>
    <w:rsid w:val="136E71D2"/>
    <w:rsid w:val="140D7D73"/>
    <w:rsid w:val="1421769B"/>
    <w:rsid w:val="14932D03"/>
    <w:rsid w:val="1663076D"/>
    <w:rsid w:val="181B0BD3"/>
    <w:rsid w:val="191E1684"/>
    <w:rsid w:val="1972585E"/>
    <w:rsid w:val="19F87477"/>
    <w:rsid w:val="1B541453"/>
    <w:rsid w:val="1C1A2D59"/>
    <w:rsid w:val="1C2C33AF"/>
    <w:rsid w:val="1C914DAE"/>
    <w:rsid w:val="1CB239FF"/>
    <w:rsid w:val="1CB659F1"/>
    <w:rsid w:val="1FAD4807"/>
    <w:rsid w:val="20C544AF"/>
    <w:rsid w:val="20CB6CB7"/>
    <w:rsid w:val="214C2ADA"/>
    <w:rsid w:val="25981347"/>
    <w:rsid w:val="270D67FE"/>
    <w:rsid w:val="27133A29"/>
    <w:rsid w:val="27321A96"/>
    <w:rsid w:val="27A74CA5"/>
    <w:rsid w:val="28D11CDD"/>
    <w:rsid w:val="29010B9E"/>
    <w:rsid w:val="29410070"/>
    <w:rsid w:val="29D00809"/>
    <w:rsid w:val="2B9106D3"/>
    <w:rsid w:val="2BBF5B57"/>
    <w:rsid w:val="2C482A44"/>
    <w:rsid w:val="2C964A81"/>
    <w:rsid w:val="2EC211EA"/>
    <w:rsid w:val="304765B2"/>
    <w:rsid w:val="30784247"/>
    <w:rsid w:val="30D23125"/>
    <w:rsid w:val="328062C5"/>
    <w:rsid w:val="32C20171"/>
    <w:rsid w:val="33907E8C"/>
    <w:rsid w:val="347F2794"/>
    <w:rsid w:val="349E3D54"/>
    <w:rsid w:val="34A62CC8"/>
    <w:rsid w:val="371E0A02"/>
    <w:rsid w:val="381C797F"/>
    <w:rsid w:val="3AA06FEA"/>
    <w:rsid w:val="3AE05CBA"/>
    <w:rsid w:val="3B924490"/>
    <w:rsid w:val="3B997DD0"/>
    <w:rsid w:val="3C07622C"/>
    <w:rsid w:val="3C1B5BAC"/>
    <w:rsid w:val="3E720C9E"/>
    <w:rsid w:val="3EE37A50"/>
    <w:rsid w:val="3F0A35CC"/>
    <w:rsid w:val="3F9E5AC2"/>
    <w:rsid w:val="4048174B"/>
    <w:rsid w:val="405614B0"/>
    <w:rsid w:val="41612E9A"/>
    <w:rsid w:val="41DE4E43"/>
    <w:rsid w:val="424B3172"/>
    <w:rsid w:val="42C45840"/>
    <w:rsid w:val="43F81467"/>
    <w:rsid w:val="44A1408B"/>
    <w:rsid w:val="44A742AF"/>
    <w:rsid w:val="44C81693"/>
    <w:rsid w:val="4763768D"/>
    <w:rsid w:val="48142270"/>
    <w:rsid w:val="4A8A4377"/>
    <w:rsid w:val="4B2E1B45"/>
    <w:rsid w:val="4C116F1B"/>
    <w:rsid w:val="4E7D5950"/>
    <w:rsid w:val="4FA76912"/>
    <w:rsid w:val="505418DC"/>
    <w:rsid w:val="516910D1"/>
    <w:rsid w:val="51D5531F"/>
    <w:rsid w:val="52901701"/>
    <w:rsid w:val="530A3D39"/>
    <w:rsid w:val="54FC26B7"/>
    <w:rsid w:val="553D1193"/>
    <w:rsid w:val="56EE00F5"/>
    <w:rsid w:val="5764628E"/>
    <w:rsid w:val="57A51342"/>
    <w:rsid w:val="599022FF"/>
    <w:rsid w:val="59E049F9"/>
    <w:rsid w:val="59ED08EF"/>
    <w:rsid w:val="5A8272CD"/>
    <w:rsid w:val="5B751975"/>
    <w:rsid w:val="5CC84710"/>
    <w:rsid w:val="5EC53368"/>
    <w:rsid w:val="61F061FA"/>
    <w:rsid w:val="624774C3"/>
    <w:rsid w:val="63853D7F"/>
    <w:rsid w:val="63A07F6E"/>
    <w:rsid w:val="64065861"/>
    <w:rsid w:val="657667D3"/>
    <w:rsid w:val="65A45331"/>
    <w:rsid w:val="67424E02"/>
    <w:rsid w:val="69023EE9"/>
    <w:rsid w:val="6AB04778"/>
    <w:rsid w:val="6C1578A5"/>
    <w:rsid w:val="6EB20ABF"/>
    <w:rsid w:val="6EC1311E"/>
    <w:rsid w:val="71272553"/>
    <w:rsid w:val="752D2B8E"/>
    <w:rsid w:val="76996286"/>
    <w:rsid w:val="77912E40"/>
    <w:rsid w:val="79147DDA"/>
    <w:rsid w:val="79EC7DDC"/>
    <w:rsid w:val="7C086208"/>
    <w:rsid w:val="7CC3637C"/>
    <w:rsid w:val="7CED3690"/>
    <w:rsid w:val="7EAC2B50"/>
    <w:rsid w:val="7EEF54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snapToGrid w:val="0"/>
      <w:spacing w:line="360" w:lineRule="atLeast"/>
      <w:outlineLvl w:val="0"/>
    </w:pPr>
    <w:rPr>
      <w:rFonts w:ascii="宋体"/>
    </w:rPr>
  </w:style>
  <w:style w:type="paragraph" w:styleId="4">
    <w:name w:val="heading 2"/>
    <w:basedOn w:val="1"/>
    <w:next w:val="1"/>
    <w:qFormat/>
    <w:uiPriority w:val="0"/>
    <w:pPr>
      <w:keepNext/>
      <w:keepLines/>
      <w:spacing w:line="413" w:lineRule="auto"/>
      <w:outlineLvl w:val="1"/>
    </w:pPr>
    <w:rPr>
      <w:rFonts w:ascii="Arial" w:hAnsi="Arial" w:eastAsia="黑体"/>
      <w:b/>
      <w:sz w:val="32"/>
    </w:rPr>
  </w:style>
  <w:style w:type="paragraph" w:styleId="5">
    <w:name w:val="heading 3"/>
    <w:basedOn w:val="1"/>
    <w:next w:val="1"/>
    <w:qFormat/>
    <w:uiPriority w:val="0"/>
    <w:pPr>
      <w:keepNext/>
      <w:keepLines/>
      <w:spacing w:line="413" w:lineRule="auto"/>
      <w:jc w:val="center"/>
      <w:outlineLvl w:val="2"/>
    </w:pPr>
    <w:rPr>
      <w:b/>
      <w:sz w:val="44"/>
    </w:rPr>
  </w:style>
  <w:style w:type="paragraph" w:styleId="6">
    <w:name w:val="heading 4"/>
    <w:basedOn w:val="1"/>
    <w:next w:val="1"/>
    <w:qFormat/>
    <w:uiPriority w:val="0"/>
    <w:pPr>
      <w:keepNext/>
      <w:keepLines/>
      <w:spacing w:before="280" w:after="290" w:line="372" w:lineRule="auto"/>
      <w:outlineLvl w:val="3"/>
    </w:pPr>
    <w:rPr>
      <w:rFonts w:ascii="Arial" w:hAnsi="Arial" w:eastAsia="黑体"/>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z w:val="32"/>
    </w:rPr>
  </w:style>
  <w:style w:type="paragraph" w:styleId="7">
    <w:name w:val="Plain Text"/>
    <w:basedOn w:val="1"/>
    <w:qFormat/>
    <w:uiPriority w:val="0"/>
    <w:rPr>
      <w:rFonts w:ascii="宋体" w:hAnsi="Courier New"/>
      <w:sz w:val="21"/>
    </w:rPr>
  </w:style>
  <w:style w:type="paragraph" w:styleId="8">
    <w:name w:val="Body Text Indent 2"/>
    <w:basedOn w:val="1"/>
    <w:qFormat/>
    <w:uiPriority w:val="0"/>
    <w:pPr>
      <w:snapToGrid w:val="0"/>
      <w:spacing w:line="560" w:lineRule="atLeast"/>
      <w:ind w:firstLine="540"/>
    </w:p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2"/>
    <w:next w:val="12"/>
    <w:qFormat/>
    <w:uiPriority w:val="0"/>
    <w:pPr>
      <w:spacing w:line="360" w:lineRule="auto"/>
      <w:ind w:firstLine="420"/>
    </w:pPr>
    <w:rPr>
      <w:rFonts w:ascii="宋体" w:hAnsi="宋体"/>
      <w:sz w:val="24"/>
    </w:rPr>
  </w:style>
  <w:style w:type="paragraph" w:customStyle="1" w:styleId="12">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正文格式"/>
    <w:basedOn w:val="17"/>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7">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Heading3"/>
    <w:basedOn w:val="1"/>
    <w:next w:val="1"/>
    <w:qFormat/>
    <w:uiPriority w:val="0"/>
    <w:pPr>
      <w:keepNext/>
      <w:keepLines/>
      <w:spacing w:before="260" w:after="260" w:line="412" w:lineRule="auto"/>
    </w:pPr>
    <w:rPr>
      <w:b/>
      <w:bCs/>
      <w:sz w:val="32"/>
      <w:szCs w:val="32"/>
    </w:rPr>
  </w:style>
  <w:style w:type="paragraph" w:customStyle="1" w:styleId="19">
    <w:name w:val="信息部正文"/>
    <w:basedOn w:val="1"/>
    <w:qFormat/>
    <w:uiPriority w:val="0"/>
    <w:pPr>
      <w:ind w:firstLine="480" w:firstLineChars="200"/>
    </w:pPr>
    <w:rPr>
      <w:rFonts w:ascii="宋体" w:hAnsi="宋体" w:cs="宋体"/>
    </w:rPr>
  </w:style>
  <w:style w:type="character" w:customStyle="1" w:styleId="20">
    <w:name w:val="页眉 字符"/>
    <w:basedOn w:val="15"/>
    <w:link w:val="10"/>
    <w:qFormat/>
    <w:uiPriority w:val="0"/>
    <w:rPr>
      <w:kern w:val="2"/>
      <w:sz w:val="18"/>
      <w:szCs w:val="18"/>
    </w:rPr>
  </w:style>
  <w:style w:type="character" w:customStyle="1" w:styleId="21">
    <w:name w:val="页脚 字符"/>
    <w:basedOn w:val="15"/>
    <w:link w:val="9"/>
    <w:qFormat/>
    <w:uiPriority w:val="0"/>
    <w:rPr>
      <w:kern w:val="2"/>
      <w:sz w:val="18"/>
      <w:szCs w:val="18"/>
    </w:rPr>
  </w:style>
  <w:style w:type="paragraph" w:styleId="22">
    <w:name w:val="List Paragraph"/>
    <w:basedOn w:val="1"/>
    <w:qFormat/>
    <w:uiPriority w:val="99"/>
    <w:pPr>
      <w:ind w:firstLine="420" w:firstLineChars="200"/>
    </w:pPr>
  </w:style>
  <w:style w:type="paragraph" w:customStyle="1" w:styleId="23">
    <w:name w:val="Default"/>
    <w:next w:val="1"/>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customStyle="1" w:styleId="24">
    <w:name w:val="图例"/>
    <w:basedOn w:val="1"/>
    <w:qFormat/>
    <w:uiPriority w:val="0"/>
    <w:pPr>
      <w:spacing w:before="120" w:after="120" w:line="360" w:lineRule="auto"/>
      <w:jc w:val="center"/>
    </w:pPr>
    <w:rPr>
      <w:rFonts w:eastAsia="仿宋_GB2312"/>
      <w:b/>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5630</Words>
  <Characters>5900</Characters>
  <Lines>18</Lines>
  <Paragraphs>5</Paragraphs>
  <TotalTime>0</TotalTime>
  <ScaleCrop>false</ScaleCrop>
  <LinksUpToDate>false</LinksUpToDate>
  <CharactersWithSpaces>6441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2025-05-08T06:27:00Z</dcterms:created>
  <dc:creator>丹姐</dc:creator>
  <cp:lastModifiedBy>航</cp:lastModifiedBy>
  <cp:lastPrinted>2024-09-09T01:44:00Z</cp:lastPrinted>
  <dcterms:modified xsi:type="dcterms:W3CDTF">2025-07-21T03:00:52Z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F24239CAE15B4666BF5EF9D2DA7AF74E_13</vt:lpwstr>
  </property>
  <property fmtid="{D5CDD505-2E9C-101B-9397-08002B2CF9AE}" pid="4" name="KSOTemplateDocerSaveRecord">
    <vt:lpwstr>eyJoZGlkIjoiY2Y4Njg0NGFmMzgwOWY1MjIxY2RhNmQ5MDY0NGQxMDUiLCJ1c2VySWQiOiI0MzM3MDk0NTkifQ==</vt:lpwstr>
  </property>
</Properties>
</file>