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AA50C">
      <w:pPr>
        <w:pageBreakBefore w:val="0"/>
        <w:widowControl/>
        <w:shd w:val="clear" w:color="auto" w:fill="FFFFFF"/>
        <w:kinsoku/>
        <w:wordWrap/>
        <w:overflowPunct/>
        <w:topLinePunct w:val="0"/>
        <w:bidi w:val="0"/>
        <w:spacing w:line="500" w:lineRule="exact"/>
        <w:jc w:val="center"/>
        <w:textAlignment w:val="auto"/>
        <w:rPr>
          <w:rFonts w:eastAsia="方正仿宋_GBK" w:cs="宋体" w:asciiTheme="minorHAnsi" w:hAnsiTheme="minorHAnsi"/>
          <w:b/>
          <w:bCs/>
          <w:color w:val="auto"/>
          <w:kern w:val="0"/>
          <w:sz w:val="32"/>
          <w:szCs w:val="32"/>
          <w:highlight w:val="none"/>
        </w:rPr>
      </w:pPr>
    </w:p>
    <w:p w14:paraId="3423CB7D">
      <w:pPr>
        <w:keepNext w:val="0"/>
        <w:keepLines w:val="0"/>
        <w:pageBreakBefore w:val="0"/>
        <w:widowControl/>
        <w:shd w:val="clear" w:color="auto" w:fill="FFFFFF"/>
        <w:kinsoku/>
        <w:wordWrap/>
        <w:overflowPunct/>
        <w:topLinePunct w:val="0"/>
        <w:autoSpaceDE/>
        <w:autoSpaceDN/>
        <w:bidi w:val="0"/>
        <w:adjustRightInd/>
        <w:snapToGrid/>
        <w:spacing w:line="240" w:lineRule="auto"/>
        <w:textAlignment w:val="auto"/>
        <w:rPr>
          <w:rFonts w:ascii="方正仿宋_GBK" w:hAnsi="宋体" w:eastAsia="方正仿宋_GBK" w:cs="宋体"/>
          <w:b/>
          <w:bCs/>
          <w:color w:val="auto"/>
          <w:kern w:val="0"/>
          <w:sz w:val="32"/>
          <w:szCs w:val="32"/>
          <w:highlight w:val="none"/>
        </w:rPr>
      </w:pPr>
    </w:p>
    <w:p w14:paraId="36953EA3">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textAlignment w:val="auto"/>
        <w:rPr>
          <w:rFonts w:ascii="方正仿宋_GBK" w:hAnsi="宋体" w:eastAsia="方正仿宋_GBK" w:cs="宋体"/>
          <w:b/>
          <w:bCs/>
          <w:color w:val="auto"/>
          <w:kern w:val="0"/>
          <w:sz w:val="32"/>
          <w:szCs w:val="32"/>
          <w:highlight w:val="none"/>
        </w:rPr>
      </w:pPr>
    </w:p>
    <w:p w14:paraId="489B8AF2">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cs="宋体"/>
          <w:b/>
          <w:bCs/>
          <w:color w:val="auto"/>
          <w:spacing w:val="80"/>
          <w:sz w:val="260"/>
          <w:szCs w:val="260"/>
          <w:highlight w:val="none"/>
        </w:rPr>
      </w:pPr>
      <w:r>
        <w:rPr>
          <w:rFonts w:hint="eastAsia" w:ascii="宋体" w:hAnsi="宋体" w:cs="宋体"/>
          <w:b/>
          <w:bCs/>
          <w:color w:val="auto"/>
          <w:sz w:val="96"/>
          <w:szCs w:val="56"/>
          <w:highlight w:val="none"/>
        </w:rPr>
        <w:t>询比文件</w:t>
      </w:r>
    </w:p>
    <w:p w14:paraId="54D61E47">
      <w:pPr>
        <w:keepNext w:val="0"/>
        <w:keepLines w:val="0"/>
        <w:pageBreakBefore w:val="0"/>
        <w:kinsoku/>
        <w:wordWrap/>
        <w:overflowPunct/>
        <w:topLinePunct w:val="0"/>
        <w:autoSpaceDE/>
        <w:autoSpaceDN/>
        <w:bidi w:val="0"/>
        <w:adjustRightInd/>
        <w:snapToGrid/>
        <w:spacing w:line="240" w:lineRule="auto"/>
        <w:ind w:left="3196" w:leftChars="570" w:hanging="1600" w:hangingChars="500"/>
        <w:textAlignment w:val="auto"/>
        <w:rPr>
          <w:rFonts w:ascii="宋体" w:hAnsi="宋体" w:cs="宋体"/>
          <w:color w:val="auto"/>
          <w:sz w:val="32"/>
          <w:szCs w:val="32"/>
          <w:highlight w:val="none"/>
        </w:rPr>
      </w:pPr>
    </w:p>
    <w:p w14:paraId="5CCECC43">
      <w:pPr>
        <w:keepNext w:val="0"/>
        <w:keepLines w:val="0"/>
        <w:pageBreakBefore w:val="0"/>
        <w:kinsoku/>
        <w:wordWrap/>
        <w:overflowPunct/>
        <w:topLinePunct w:val="0"/>
        <w:autoSpaceDE/>
        <w:autoSpaceDN/>
        <w:bidi w:val="0"/>
        <w:adjustRightInd/>
        <w:snapToGrid/>
        <w:spacing w:line="240" w:lineRule="auto"/>
        <w:ind w:left="3196" w:leftChars="570" w:hanging="1600" w:hangingChars="500"/>
        <w:textAlignment w:val="auto"/>
        <w:rPr>
          <w:rFonts w:ascii="宋体" w:hAnsi="宋体" w:cs="宋体"/>
          <w:color w:val="auto"/>
          <w:sz w:val="32"/>
          <w:szCs w:val="32"/>
          <w:highlight w:val="none"/>
        </w:rPr>
      </w:pPr>
    </w:p>
    <w:p w14:paraId="2CD75447">
      <w:pPr>
        <w:keepNext w:val="0"/>
        <w:keepLines w:val="0"/>
        <w:pageBreakBefore w:val="0"/>
        <w:kinsoku/>
        <w:wordWrap/>
        <w:overflowPunct/>
        <w:topLinePunct w:val="0"/>
        <w:autoSpaceDE/>
        <w:autoSpaceDN/>
        <w:bidi w:val="0"/>
        <w:adjustRightInd/>
        <w:snapToGrid/>
        <w:spacing w:line="240" w:lineRule="auto"/>
        <w:ind w:left="3196" w:leftChars="570" w:hanging="1600" w:hangingChars="500"/>
        <w:textAlignment w:val="auto"/>
        <w:rPr>
          <w:rFonts w:ascii="宋体" w:hAnsi="宋体" w:cs="宋体"/>
          <w:color w:val="auto"/>
          <w:sz w:val="32"/>
          <w:szCs w:val="32"/>
          <w:highlight w:val="none"/>
        </w:rPr>
      </w:pPr>
    </w:p>
    <w:p w14:paraId="6539869B">
      <w:pPr>
        <w:keepNext w:val="0"/>
        <w:keepLines w:val="0"/>
        <w:pageBreakBefore w:val="0"/>
        <w:kinsoku/>
        <w:wordWrap/>
        <w:overflowPunct/>
        <w:topLinePunct w:val="0"/>
        <w:autoSpaceDE/>
        <w:autoSpaceDN/>
        <w:bidi w:val="0"/>
        <w:adjustRightInd/>
        <w:snapToGrid/>
        <w:spacing w:line="240" w:lineRule="auto"/>
        <w:ind w:left="3196" w:leftChars="570" w:hanging="1600" w:hangingChars="500"/>
        <w:textAlignment w:val="auto"/>
        <w:rPr>
          <w:rFonts w:ascii="宋体" w:hAnsi="宋体" w:cs="宋体"/>
          <w:color w:val="auto"/>
          <w:sz w:val="32"/>
          <w:szCs w:val="32"/>
          <w:highlight w:val="none"/>
        </w:rPr>
      </w:pPr>
    </w:p>
    <w:p w14:paraId="05FC4719">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803" w:firstLineChars="200"/>
        <w:jc w:val="center"/>
        <w:textAlignment w:val="auto"/>
        <w:rPr>
          <w:rFonts w:hint="eastAsia" w:ascii="宋体" w:hAnsi="宋体" w:eastAsia="宋体" w:cs="宋体"/>
          <w:b/>
          <w:bCs/>
          <w:color w:val="auto"/>
          <w:kern w:val="0"/>
          <w:sz w:val="40"/>
          <w:szCs w:val="40"/>
          <w:highlight w:val="none"/>
          <w:lang w:eastAsia="zh-CN"/>
        </w:rPr>
      </w:pPr>
      <w:r>
        <w:rPr>
          <w:rFonts w:hint="eastAsia" w:ascii="宋体" w:hAnsi="宋体" w:cs="宋体"/>
          <w:b/>
          <w:bCs/>
          <w:color w:val="auto"/>
          <w:kern w:val="0"/>
          <w:sz w:val="40"/>
          <w:szCs w:val="40"/>
          <w:highlight w:val="none"/>
        </w:rPr>
        <w:t>项目名称:</w:t>
      </w:r>
      <w:r>
        <w:rPr>
          <w:rFonts w:hint="eastAsia"/>
          <w:b/>
          <w:bCs/>
          <w:color w:val="auto"/>
          <w:sz w:val="40"/>
          <w:szCs w:val="40"/>
          <w:highlight w:val="none"/>
          <w:lang w:eastAsia="zh-CN"/>
        </w:rPr>
        <w:t xml:space="preserve"> 荣昌区刘家庙摩崖造像及寺庙建筑基址保护利用方案（保护性设施设计）（第</w:t>
      </w:r>
      <w:r>
        <w:rPr>
          <w:rFonts w:hint="eastAsia"/>
          <w:b/>
          <w:bCs/>
          <w:color w:val="auto"/>
          <w:sz w:val="40"/>
          <w:szCs w:val="40"/>
          <w:highlight w:val="none"/>
          <w:lang w:val="en-US" w:eastAsia="zh-CN"/>
        </w:rPr>
        <w:t>三</w:t>
      </w:r>
      <w:r>
        <w:rPr>
          <w:rFonts w:hint="eastAsia"/>
          <w:b/>
          <w:bCs/>
          <w:color w:val="auto"/>
          <w:sz w:val="40"/>
          <w:szCs w:val="40"/>
          <w:highlight w:val="none"/>
          <w:lang w:eastAsia="zh-CN"/>
        </w:rPr>
        <w:t>次）</w:t>
      </w:r>
    </w:p>
    <w:p w14:paraId="77551359">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textAlignment w:val="auto"/>
        <w:rPr>
          <w:rFonts w:ascii="宋体" w:hAnsi="宋体" w:cs="宋体"/>
          <w:b/>
          <w:bCs/>
          <w:color w:val="auto"/>
          <w:kern w:val="0"/>
          <w:sz w:val="40"/>
          <w:szCs w:val="40"/>
          <w:highlight w:val="none"/>
        </w:rPr>
      </w:pPr>
    </w:p>
    <w:p w14:paraId="7E22F1A2">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803" w:firstLineChars="200"/>
        <w:jc w:val="center"/>
        <w:textAlignment w:val="auto"/>
        <w:rPr>
          <w:rFonts w:ascii="宋体" w:hAnsi="宋体" w:cs="宋体"/>
          <w:b/>
          <w:bCs/>
          <w:color w:val="auto"/>
          <w:kern w:val="0"/>
          <w:sz w:val="40"/>
          <w:szCs w:val="40"/>
          <w:highlight w:val="none"/>
        </w:rPr>
      </w:pPr>
      <w:r>
        <w:rPr>
          <w:rFonts w:hint="eastAsia" w:ascii="宋体" w:hAnsi="宋体" w:cs="宋体"/>
          <w:b/>
          <w:bCs/>
          <w:color w:val="auto"/>
          <w:kern w:val="0"/>
          <w:sz w:val="40"/>
          <w:szCs w:val="40"/>
          <w:highlight w:val="none"/>
        </w:rPr>
        <w:t>采购人：重庆市文物考古研究院(重庆文化遗产保护中心)</w:t>
      </w:r>
    </w:p>
    <w:p w14:paraId="2EA79724">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textAlignment w:val="auto"/>
        <w:rPr>
          <w:rFonts w:ascii="宋体" w:hAnsi="宋体" w:cs="宋体"/>
          <w:b/>
          <w:bCs/>
          <w:color w:val="auto"/>
          <w:kern w:val="0"/>
          <w:sz w:val="32"/>
          <w:szCs w:val="32"/>
          <w:highlight w:val="none"/>
        </w:rPr>
      </w:pPr>
    </w:p>
    <w:p w14:paraId="4679015B">
      <w:pPr>
        <w:pageBreakBefore w:val="0"/>
        <w:widowControl/>
        <w:shd w:val="clear" w:color="auto" w:fill="FFFFFF"/>
        <w:kinsoku/>
        <w:wordWrap/>
        <w:overflowPunct/>
        <w:topLinePunct w:val="0"/>
        <w:bidi w:val="0"/>
        <w:spacing w:line="500" w:lineRule="exact"/>
        <w:jc w:val="center"/>
        <w:textAlignment w:val="auto"/>
        <w:rPr>
          <w:rFonts w:ascii="宋体" w:hAnsi="宋体" w:cs="宋体"/>
          <w:b/>
          <w:bCs/>
          <w:color w:val="auto"/>
          <w:kern w:val="0"/>
          <w:sz w:val="32"/>
          <w:szCs w:val="32"/>
          <w:highlight w:val="none"/>
        </w:rPr>
      </w:pPr>
    </w:p>
    <w:p w14:paraId="2650A839">
      <w:pPr>
        <w:pStyle w:val="2"/>
        <w:pageBreakBefore w:val="0"/>
        <w:kinsoku/>
        <w:wordWrap/>
        <w:overflowPunct/>
        <w:topLinePunct w:val="0"/>
        <w:bidi w:val="0"/>
        <w:spacing w:line="500" w:lineRule="exact"/>
        <w:textAlignment w:val="auto"/>
        <w:rPr>
          <w:rFonts w:ascii="宋体" w:hAnsi="宋体" w:cs="宋体"/>
          <w:b/>
          <w:bCs/>
          <w:color w:val="auto"/>
          <w:kern w:val="0"/>
          <w:sz w:val="32"/>
          <w:szCs w:val="32"/>
          <w:highlight w:val="none"/>
        </w:rPr>
      </w:pPr>
    </w:p>
    <w:p w14:paraId="77F8EE22">
      <w:pPr>
        <w:pageBreakBefore w:val="0"/>
        <w:kinsoku/>
        <w:wordWrap/>
        <w:overflowPunct/>
        <w:topLinePunct w:val="0"/>
        <w:bidi w:val="0"/>
        <w:spacing w:line="500" w:lineRule="exact"/>
        <w:textAlignment w:val="auto"/>
        <w:rPr>
          <w:color w:val="auto"/>
          <w:highlight w:val="none"/>
        </w:rPr>
      </w:pPr>
    </w:p>
    <w:p w14:paraId="4DA358CE">
      <w:pPr>
        <w:pageBreakBefore w:val="0"/>
        <w:widowControl/>
        <w:shd w:val="clear" w:color="auto" w:fill="FFFFFF"/>
        <w:kinsoku/>
        <w:wordWrap/>
        <w:overflowPunct/>
        <w:topLinePunct w:val="0"/>
        <w:bidi w:val="0"/>
        <w:spacing w:line="500" w:lineRule="exact"/>
        <w:ind w:firstLine="643" w:firstLineChars="200"/>
        <w:jc w:val="center"/>
        <w:textAlignment w:val="auto"/>
        <w:rPr>
          <w:rFonts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二〇二五年</w:t>
      </w:r>
      <w:r>
        <w:rPr>
          <w:rFonts w:hint="eastAsia" w:ascii="宋体" w:hAnsi="宋体" w:cs="宋体"/>
          <w:b/>
          <w:bCs/>
          <w:color w:val="auto"/>
          <w:kern w:val="0"/>
          <w:sz w:val="32"/>
          <w:szCs w:val="32"/>
          <w:highlight w:val="none"/>
          <w:lang w:val="en-US" w:eastAsia="zh-CN"/>
        </w:rPr>
        <w:t>七</w:t>
      </w:r>
      <w:r>
        <w:rPr>
          <w:rFonts w:hint="eastAsia" w:ascii="宋体" w:hAnsi="宋体" w:cs="宋体"/>
          <w:b/>
          <w:bCs/>
          <w:color w:val="auto"/>
          <w:kern w:val="0"/>
          <w:sz w:val="32"/>
          <w:szCs w:val="32"/>
          <w:highlight w:val="none"/>
        </w:rPr>
        <w:t>月</w:t>
      </w:r>
    </w:p>
    <w:p w14:paraId="1B0B7EF4">
      <w:pPr>
        <w:pageBreakBefore w:val="0"/>
        <w:widowControl/>
        <w:shd w:val="clear" w:color="auto" w:fill="FFFFFF"/>
        <w:kinsoku/>
        <w:wordWrap/>
        <w:overflowPunct/>
        <w:topLinePunct w:val="0"/>
        <w:bidi w:val="0"/>
        <w:spacing w:line="500" w:lineRule="exact"/>
        <w:jc w:val="center"/>
        <w:textAlignment w:val="auto"/>
        <w:rPr>
          <w:rFonts w:ascii="宋体" w:hAnsi="宋体" w:cs="宋体"/>
          <w:b/>
          <w:bCs/>
          <w:color w:val="auto"/>
          <w:kern w:val="0"/>
          <w:sz w:val="32"/>
          <w:szCs w:val="32"/>
          <w:highlight w:val="none"/>
        </w:rPr>
      </w:pPr>
    </w:p>
    <w:p w14:paraId="6245040B">
      <w:pPr>
        <w:rPr>
          <w:rFonts w:hint="eastAsia"/>
          <w:color w:val="auto"/>
        </w:rPr>
      </w:pPr>
      <w:r>
        <w:rPr>
          <w:rFonts w:hint="eastAsia"/>
          <w:color w:val="auto"/>
          <w:highlight w:val="none"/>
        </w:rPr>
        <w:br w:type="page"/>
      </w:r>
    </w:p>
    <w:p w14:paraId="0A93DCB0">
      <w:pPr>
        <w:pStyle w:val="2"/>
        <w:pageBreakBefore w:val="0"/>
        <w:kinsoku/>
        <w:wordWrap/>
        <w:overflowPunct/>
        <w:topLinePunct w:val="0"/>
        <w:bidi w:val="0"/>
        <w:spacing w:line="500" w:lineRule="exact"/>
        <w:textAlignment w:val="auto"/>
        <w:rPr>
          <w:rFonts w:hint="eastAsia"/>
          <w:color w:val="auto"/>
          <w:highlight w:val="none"/>
        </w:rPr>
      </w:pPr>
    </w:p>
    <w:p w14:paraId="3D682C31">
      <w:pPr>
        <w:pageBreakBefore w:val="0"/>
        <w:widowControl/>
        <w:shd w:val="clear" w:color="auto" w:fill="FFFFFF"/>
        <w:kinsoku/>
        <w:wordWrap/>
        <w:overflowPunct/>
        <w:topLinePunct w:val="0"/>
        <w:bidi w:val="0"/>
        <w:spacing w:line="500" w:lineRule="exact"/>
        <w:ind w:firstLine="643" w:firstLineChars="200"/>
        <w:jc w:val="center"/>
        <w:textAlignment w:val="auto"/>
        <w:rPr>
          <w:rFonts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询比公告</w:t>
      </w:r>
    </w:p>
    <w:p w14:paraId="3B842F4A">
      <w:pPr>
        <w:pStyle w:val="22"/>
        <w:pageBreakBefore w:val="0"/>
        <w:widowControl/>
        <w:shd w:val="clear" w:color="auto" w:fill="FFFFFF"/>
        <w:kinsoku/>
        <w:wordWrap/>
        <w:overflowPunct/>
        <w:topLinePunct w:val="0"/>
        <w:bidi w:val="0"/>
        <w:spacing w:line="500" w:lineRule="exact"/>
        <w:jc w:val="left"/>
        <w:textAlignment w:val="auto"/>
        <w:rPr>
          <w:rFonts w:ascii="宋体" w:hAnsi="宋体" w:cs="宋体"/>
          <w:color w:val="auto"/>
          <w:kern w:val="0"/>
          <w:sz w:val="24"/>
          <w:szCs w:val="24"/>
          <w:highlight w:val="none"/>
        </w:rPr>
      </w:pPr>
      <w:r>
        <w:rPr>
          <w:rFonts w:ascii="宋体" w:hAnsi="宋体" w:cs="宋体"/>
          <w:color w:val="auto"/>
          <w:kern w:val="0"/>
          <w:sz w:val="24"/>
          <w:szCs w:val="24"/>
          <w:highlight w:val="none"/>
        </w:rPr>
        <w:t>一、</w:t>
      </w:r>
      <w:r>
        <w:rPr>
          <w:rFonts w:hint="eastAsia" w:ascii="宋体" w:hAnsi="宋体" w:cs="宋体"/>
          <w:b/>
          <w:bCs/>
          <w:color w:val="auto"/>
          <w:kern w:val="0"/>
          <w:sz w:val="24"/>
          <w:szCs w:val="24"/>
          <w:highlight w:val="none"/>
        </w:rPr>
        <w:t>服务内容</w:t>
      </w:r>
    </w:p>
    <w:p w14:paraId="6E282F66">
      <w:pPr>
        <w:pStyle w:val="22"/>
        <w:pageBreakBefore w:val="0"/>
        <w:widowControl/>
        <w:shd w:val="clear" w:color="auto" w:fill="FFFFFF"/>
        <w:kinsoku/>
        <w:wordWrap/>
        <w:overflowPunct/>
        <w:topLinePunct w:val="0"/>
        <w:bidi w:val="0"/>
        <w:spacing w:line="500" w:lineRule="exact"/>
        <w:ind w:firstLine="48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荣昌区刘家庙摩崖造像及寺庙建筑基址保护设施设计</w:t>
      </w:r>
    </w:p>
    <w:p w14:paraId="24E645E2">
      <w:pPr>
        <w:pStyle w:val="22"/>
        <w:pageBreakBefore w:val="0"/>
        <w:widowControl/>
        <w:shd w:val="clear" w:color="auto" w:fill="FFFFFF"/>
        <w:kinsoku/>
        <w:wordWrap/>
        <w:overflowPunct/>
        <w:topLinePunct w:val="0"/>
        <w:bidi w:val="0"/>
        <w:spacing w:line="500" w:lineRule="exact"/>
        <w:ind w:firstLine="480"/>
        <w:jc w:val="left"/>
        <w:textAlignment w:val="auto"/>
        <w:rPr>
          <w:rFonts w:ascii="宋体" w:hAnsi="宋体" w:cs="宋体"/>
          <w:b/>
          <w:bCs/>
          <w:color w:val="auto"/>
          <w:kern w:val="0"/>
          <w:sz w:val="24"/>
          <w:szCs w:val="24"/>
          <w:highlight w:val="none"/>
        </w:rPr>
      </w:pPr>
      <w:r>
        <w:rPr>
          <w:rFonts w:hint="eastAsia" w:ascii="宋体" w:hAnsi="宋体" w:cs="宋体"/>
          <w:color w:val="auto"/>
          <w:kern w:val="0"/>
          <w:sz w:val="24"/>
          <w:szCs w:val="24"/>
          <w:highlight w:val="none"/>
        </w:rPr>
        <w:t>二、</w:t>
      </w:r>
      <w:r>
        <w:rPr>
          <w:rFonts w:hint="eastAsia" w:ascii="宋体" w:hAnsi="宋体" w:cs="宋体"/>
          <w:b/>
          <w:bCs/>
          <w:color w:val="auto"/>
          <w:kern w:val="0"/>
          <w:sz w:val="24"/>
          <w:szCs w:val="24"/>
          <w:highlight w:val="none"/>
        </w:rPr>
        <w:t>采购最高限价：</w:t>
      </w:r>
    </w:p>
    <w:p w14:paraId="0F4C305B">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人民币</w:t>
      </w:r>
      <w:r>
        <w:rPr>
          <w:rFonts w:hint="eastAsia" w:ascii="宋体" w:hAnsi="宋体" w:cs="宋体"/>
          <w:color w:val="auto"/>
          <w:kern w:val="0"/>
          <w:sz w:val="24"/>
          <w:szCs w:val="24"/>
          <w:highlight w:val="none"/>
          <w:lang w:val="en-US" w:eastAsia="zh-CN"/>
        </w:rPr>
        <w:t>43500.00</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lang w:val="en-US" w:eastAsia="zh-CN"/>
        </w:rPr>
        <w:t>肆万叁仟伍佰元</w:t>
      </w:r>
      <w:r>
        <w:rPr>
          <w:rFonts w:hint="eastAsia" w:ascii="宋体" w:hAnsi="宋体" w:cs="宋体"/>
          <w:color w:val="auto"/>
          <w:kern w:val="0"/>
          <w:sz w:val="24"/>
          <w:szCs w:val="24"/>
          <w:highlight w:val="none"/>
        </w:rPr>
        <w:t>。</w:t>
      </w:r>
    </w:p>
    <w:p w14:paraId="084C28E6">
      <w:pPr>
        <w:pageBreakBefore w:val="0"/>
        <w:widowControl/>
        <w:shd w:val="clear" w:color="auto" w:fill="FFFFFF"/>
        <w:kinsoku/>
        <w:wordWrap/>
        <w:overflowPunct/>
        <w:topLinePunct w:val="0"/>
        <w:bidi w:val="0"/>
        <w:spacing w:line="500" w:lineRule="exact"/>
        <w:ind w:firstLine="482" w:firstLineChars="200"/>
        <w:jc w:val="left"/>
        <w:textAlignment w:val="auto"/>
        <w:rPr>
          <w:rFonts w:ascii="宋体" w:hAnsi="宋体" w:cs="宋体"/>
          <w:color w:val="auto"/>
          <w:kern w:val="0"/>
          <w:sz w:val="24"/>
          <w:szCs w:val="24"/>
          <w:highlight w:val="none"/>
        </w:rPr>
      </w:pPr>
      <w:r>
        <w:rPr>
          <w:rFonts w:hint="eastAsia" w:ascii="宋体" w:hAnsi="宋体" w:cs="宋体"/>
          <w:b/>
          <w:bCs/>
          <w:color w:val="auto"/>
          <w:kern w:val="0"/>
          <w:sz w:val="24"/>
          <w:szCs w:val="24"/>
          <w:highlight w:val="none"/>
        </w:rPr>
        <w:t>三、服务内容及技术要求</w:t>
      </w:r>
    </w:p>
    <w:p w14:paraId="4C08E29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根据荣昌区刘家庙摩崖造像及寺庙建筑基址现状进行保护性设施设计</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其中摩崖造像、寺庙建筑基址保护性设施5个，面积合计246平方米，僧侣墓葬区1个，覆盖</w:t>
      </w:r>
      <w:r>
        <w:rPr>
          <w:rFonts w:hint="eastAsia" w:ascii="宋体" w:hAnsi="宋体" w:cs="宋体"/>
          <w:color w:val="auto"/>
          <w:sz w:val="24"/>
          <w:szCs w:val="24"/>
          <w:highlight w:val="none"/>
        </w:rPr>
        <w:t>面积约</w:t>
      </w:r>
      <w:r>
        <w:rPr>
          <w:rFonts w:hint="eastAsia" w:ascii="宋体" w:hAnsi="宋体" w:cs="宋体"/>
          <w:color w:val="auto"/>
          <w:sz w:val="24"/>
          <w:szCs w:val="24"/>
          <w:highlight w:val="none"/>
          <w:lang w:val="en-US" w:eastAsia="zh-CN"/>
        </w:rPr>
        <w:t>255</w:t>
      </w:r>
      <w:r>
        <w:rPr>
          <w:rFonts w:hint="eastAsia" w:ascii="宋体" w:hAnsi="宋体" w:cs="宋体"/>
          <w:color w:val="auto"/>
          <w:sz w:val="24"/>
          <w:szCs w:val="24"/>
          <w:highlight w:val="none"/>
        </w:rPr>
        <w:t>平方米。</w:t>
      </w:r>
      <w:r>
        <w:rPr>
          <w:rFonts w:hint="eastAsia" w:ascii="宋体" w:hAnsi="宋体" w:cs="宋体"/>
          <w:color w:val="auto"/>
          <w:sz w:val="24"/>
          <w:szCs w:val="24"/>
          <w:highlight w:val="none"/>
          <w:lang w:val="en-US" w:eastAsia="zh-CN"/>
        </w:rPr>
        <w:t>项目总面积约500平方米。</w:t>
      </w:r>
    </w:p>
    <w:p w14:paraId="4987105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val="en-US" w:eastAsia="zh-CN"/>
        </w:rPr>
        <w:t>设计技术要求</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确保保护性设施安全、可靠、经济合理，结构独立，不与文物本体发生关系，也不影响相关文物的安全。同时保护性设施的造型设计应与刘家庙摩崖造像、寺庙建筑基址及周围的环境风貌相协调。</w:t>
      </w:r>
    </w:p>
    <w:p w14:paraId="375B70A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en-US" w:eastAsia="zh-CN"/>
        </w:rPr>
        <w:t>设计需提供相应的结构计算书</w:t>
      </w:r>
      <w:r>
        <w:rPr>
          <w:rFonts w:hint="eastAsia" w:ascii="宋体" w:hAnsi="宋体" w:cs="宋体"/>
          <w:color w:val="auto"/>
          <w:sz w:val="24"/>
          <w:szCs w:val="24"/>
          <w:highlight w:val="none"/>
        </w:rPr>
        <w:t>。</w:t>
      </w:r>
    </w:p>
    <w:p w14:paraId="428F1B1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val="en-US" w:eastAsia="zh-CN"/>
        </w:rPr>
        <w:t>提供本项目设计图、施工图设计；完成相关阶段的设计工作后，提供相应的技术交底服务（设计人员应配合业主在施工图设计阶段提出施工控制的建议方案）；参与竣工验收；配合并参与后期有关质量问题的分析和处理。</w:t>
      </w:r>
    </w:p>
    <w:p w14:paraId="3ADFBA2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该项目</w:t>
      </w:r>
      <w:r>
        <w:rPr>
          <w:rFonts w:hint="eastAsia" w:ascii="宋体" w:hAnsi="宋体" w:cs="宋体"/>
          <w:color w:val="auto"/>
          <w:sz w:val="24"/>
          <w:szCs w:val="24"/>
          <w:highlight w:val="none"/>
          <w:lang w:val="en-US" w:eastAsia="zh-CN"/>
        </w:rPr>
        <w:t>的设计依据与规范应符合国家及地方规范</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设计单位及人员应具有相应设计资质，设计完成</w:t>
      </w:r>
      <w:r>
        <w:rPr>
          <w:rFonts w:hint="eastAsia" w:ascii="宋体" w:hAnsi="宋体" w:cs="宋体"/>
          <w:color w:val="auto"/>
          <w:sz w:val="24"/>
          <w:szCs w:val="24"/>
          <w:highlight w:val="none"/>
          <w:lang w:eastAsia="zh-CN"/>
        </w:rPr>
        <w:t>后以甲方验收合格为准。</w:t>
      </w:r>
    </w:p>
    <w:p w14:paraId="022F8068">
      <w:pPr>
        <w:pageBreakBefore w:val="0"/>
        <w:widowControl/>
        <w:shd w:val="clear" w:color="auto" w:fill="FFFFFF"/>
        <w:kinsoku/>
        <w:wordWrap/>
        <w:overflowPunct/>
        <w:topLinePunct w:val="0"/>
        <w:bidi w:val="0"/>
        <w:spacing w:line="500" w:lineRule="exact"/>
        <w:ind w:left="238" w:leftChars="85" w:firstLine="241" w:firstLineChars="100"/>
        <w:jc w:val="left"/>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四、供应商资格要求</w:t>
      </w:r>
    </w:p>
    <w:p w14:paraId="7A3B2F18">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1.具有独立承担民事责任能力；</w:t>
      </w:r>
    </w:p>
    <w:p w14:paraId="4CFAE74E">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2.具有良好商业信誉；</w:t>
      </w:r>
    </w:p>
    <w:p w14:paraId="296D12B8">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3.具有履行合同所必需的设备和专业技术能力；</w:t>
      </w:r>
    </w:p>
    <w:p w14:paraId="42B73D1B">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4.有依法缴纳税收和社会保障资金的良好记录；</w:t>
      </w:r>
    </w:p>
    <w:p w14:paraId="7573FB82">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5.参与政府采购活动前三年，在经营过程中无重大违法记录；</w:t>
      </w:r>
    </w:p>
    <w:p w14:paraId="7AAA1AEC">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6.法律、行政法规规定的其它条件。</w:t>
      </w:r>
    </w:p>
    <w:p w14:paraId="50472652">
      <w:pPr>
        <w:pageBreakBefore w:val="0"/>
        <w:widowControl/>
        <w:shd w:val="clear" w:color="auto" w:fill="FFFFFF"/>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7.特定资格</w:t>
      </w:r>
      <w:r>
        <w:rPr>
          <w:rFonts w:hint="eastAsia" w:ascii="宋体" w:hAnsi="宋体" w:cs="宋体"/>
          <w:color w:val="auto"/>
          <w:sz w:val="24"/>
          <w:szCs w:val="24"/>
          <w:highlight w:val="none"/>
          <w:lang w:val="en-US" w:eastAsia="zh-CN"/>
        </w:rPr>
        <w:t>要求</w:t>
      </w:r>
      <w:r>
        <w:rPr>
          <w:rFonts w:hint="eastAsia" w:ascii="宋体" w:hAnsi="宋体" w:cs="宋体"/>
          <w:color w:val="auto"/>
          <w:sz w:val="24"/>
          <w:szCs w:val="24"/>
          <w:highlight w:val="none"/>
        </w:rPr>
        <w:t>：</w:t>
      </w:r>
    </w:p>
    <w:p w14:paraId="38A45590">
      <w:pPr>
        <w:pageBreakBefore w:val="0"/>
        <w:widowControl/>
        <w:shd w:val="clear" w:color="auto" w:fill="FFFFFF"/>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具备建设行政主管部门颁发的以下资质之一</w:t>
      </w:r>
    </w:p>
    <w:p w14:paraId="79B0AF2C">
      <w:pPr>
        <w:pageBreakBefore w:val="0"/>
        <w:widowControl/>
        <w:shd w:val="clear" w:color="auto" w:fill="FFFFFF"/>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①工程设计综合资质甲级;</w:t>
      </w:r>
    </w:p>
    <w:p w14:paraId="2F41CF99">
      <w:pPr>
        <w:pageBreakBefore w:val="0"/>
        <w:widowControl/>
        <w:shd w:val="clear" w:color="auto" w:fill="FFFFFF"/>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②工程设计建筑行业甲级资质或者工程设计建筑行业(建筑工程)甲级资质</w:t>
      </w:r>
      <w:r>
        <w:rPr>
          <w:rFonts w:hint="eastAsia" w:ascii="宋体" w:hAnsi="宋体" w:cs="宋体"/>
          <w:color w:val="auto"/>
          <w:sz w:val="24"/>
          <w:szCs w:val="24"/>
          <w:highlight w:val="none"/>
          <w:lang w:eastAsia="zh-CN"/>
        </w:rPr>
        <w:t>。</w:t>
      </w:r>
    </w:p>
    <w:p w14:paraId="3F15D5C7">
      <w:pPr>
        <w:pageBreakBefore w:val="0"/>
        <w:widowControl/>
        <w:shd w:val="clear" w:color="auto" w:fill="FFFFFF"/>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提供有效的资质证书，并加盖供应商公章。</w:t>
      </w:r>
    </w:p>
    <w:p w14:paraId="26C5D33A">
      <w:pPr>
        <w:pageBreakBefore w:val="0"/>
        <w:widowControl/>
        <w:shd w:val="clear" w:color="auto" w:fill="FFFFFF"/>
        <w:kinsoku/>
        <w:wordWrap/>
        <w:overflowPunct/>
        <w:topLinePunct w:val="0"/>
        <w:bidi w:val="0"/>
        <w:spacing w:line="500" w:lineRule="exact"/>
        <w:ind w:left="238" w:leftChars="85" w:firstLine="241" w:firstLineChars="1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五、采购服务约定</w:t>
      </w:r>
    </w:p>
    <w:p w14:paraId="6BC928D1">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1.服务周期</w:t>
      </w:r>
    </w:p>
    <w:p w14:paraId="7040DD05">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合同签订后20个工作日内完成全部工作并通过我院验收。</w:t>
      </w:r>
    </w:p>
    <w:p w14:paraId="0E5AEFFC">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2.服务地点</w:t>
      </w:r>
    </w:p>
    <w:p w14:paraId="247BC29F">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服务地点：</w:t>
      </w:r>
      <w:r>
        <w:rPr>
          <w:rFonts w:hint="eastAsia" w:ascii="宋体" w:hAnsi="宋体" w:cs="宋体"/>
          <w:color w:val="auto"/>
          <w:sz w:val="24"/>
          <w:szCs w:val="24"/>
          <w:highlight w:val="none"/>
        </w:rPr>
        <w:t>我院</w:t>
      </w:r>
      <w:r>
        <w:rPr>
          <w:rFonts w:hint="eastAsia" w:ascii="宋体" w:hAnsi="宋体" w:cs="宋体"/>
          <w:color w:val="auto"/>
          <w:kern w:val="0"/>
          <w:sz w:val="24"/>
          <w:szCs w:val="24"/>
          <w:highlight w:val="none"/>
        </w:rPr>
        <w:t>指定地点。</w:t>
      </w:r>
    </w:p>
    <w:p w14:paraId="09B006D3">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3.验收方式：</w:t>
      </w:r>
    </w:p>
    <w:p w14:paraId="36917162">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通过甲方组织的验收。</w:t>
      </w:r>
    </w:p>
    <w:p w14:paraId="121400E8">
      <w:pPr>
        <w:pageBreakBefore w:val="0"/>
        <w:widowControl/>
        <w:shd w:val="clear" w:color="auto" w:fill="FFFFFF"/>
        <w:kinsoku/>
        <w:wordWrap/>
        <w:overflowPunct/>
        <w:topLinePunct w:val="0"/>
        <w:bidi w:val="0"/>
        <w:spacing w:line="500" w:lineRule="exact"/>
        <w:ind w:firstLine="482" w:firstLineChars="200"/>
        <w:jc w:val="left"/>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六、报价要求及成交原则</w:t>
      </w:r>
    </w:p>
    <w:p w14:paraId="2D8A1307">
      <w:pPr>
        <w:pageBreakBefore w:val="0"/>
        <w:widowControl/>
        <w:shd w:val="clear" w:color="auto" w:fill="FFFFFF"/>
        <w:kinsoku/>
        <w:wordWrap/>
        <w:overflowPunct/>
        <w:topLinePunct w:val="0"/>
        <w:bidi w:val="0"/>
        <w:spacing w:line="500" w:lineRule="exact"/>
        <w:ind w:left="238" w:leftChars="85"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1.报价要求：</w:t>
      </w:r>
    </w:p>
    <w:p w14:paraId="208E3059">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次报价须为人民币报价，包含服务费、工作人员工资、前往区县的交通及人员差旅食宿、后勤用品、技材、不可预见、安全措施、税费、运杂费、保险费、验收、等所有费用。因成交供应商自身原因造成漏报、少报皆由其自行承担责任，</w:t>
      </w:r>
      <w:r>
        <w:rPr>
          <w:rFonts w:hint="eastAsia" w:ascii="宋体" w:hAnsi="宋体" w:cs="宋体"/>
          <w:color w:val="auto"/>
          <w:sz w:val="24"/>
          <w:szCs w:val="24"/>
          <w:highlight w:val="none"/>
        </w:rPr>
        <w:t>我院</w:t>
      </w:r>
      <w:r>
        <w:rPr>
          <w:rFonts w:hint="eastAsia" w:ascii="宋体" w:hAnsi="宋体" w:cs="宋体"/>
          <w:color w:val="auto"/>
          <w:kern w:val="0"/>
          <w:sz w:val="24"/>
          <w:szCs w:val="24"/>
          <w:highlight w:val="none"/>
        </w:rPr>
        <w:t>不再补偿。</w:t>
      </w:r>
    </w:p>
    <w:p w14:paraId="4AEBE301">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2.成交原则</w:t>
      </w:r>
    </w:p>
    <w:p w14:paraId="556C7A29">
      <w:pPr>
        <w:pageBreakBefore w:val="0"/>
        <w:widowControl/>
        <w:shd w:val="clear" w:color="auto" w:fill="FFFFFF"/>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在符合本次采购要求、质量和服务的前提下，按综合评分法确定成交供应商。</w:t>
      </w:r>
    </w:p>
    <w:p w14:paraId="03E7339A">
      <w:pPr>
        <w:pStyle w:val="23"/>
        <w:pageBreakBefore w:val="0"/>
        <w:kinsoku/>
        <w:wordWrap/>
        <w:overflowPunct/>
        <w:topLinePunct w:val="0"/>
        <w:bidi w:val="0"/>
        <w:spacing w:line="500" w:lineRule="exact"/>
        <w:ind w:firstLine="480" w:firstLineChars="200"/>
        <w:textAlignment w:val="auto"/>
        <w:rPr>
          <w:rFonts w:hAnsi="宋体" w:cs="宋体"/>
          <w:color w:val="auto"/>
          <w:szCs w:val="24"/>
          <w:highlight w:val="none"/>
        </w:rPr>
      </w:pPr>
      <w:r>
        <w:rPr>
          <w:rFonts w:hint="eastAsia" w:hAnsi="宋体" w:cs="宋体"/>
          <w:color w:val="auto"/>
          <w:szCs w:val="24"/>
          <w:highlight w:val="none"/>
        </w:rPr>
        <w:t>3.评审标准</w:t>
      </w:r>
    </w:p>
    <w:p w14:paraId="30780F0D">
      <w:pPr>
        <w:pageBreakBefore w:val="0"/>
        <w:kinsoku/>
        <w:wordWrap/>
        <w:overflowPunct/>
        <w:topLinePunct w:val="0"/>
        <w:bidi w:val="0"/>
        <w:spacing w:line="240" w:lineRule="auto"/>
        <w:textAlignment w:val="auto"/>
        <w:rPr>
          <w:rFonts w:hAnsi="宋体" w:cs="宋体"/>
          <w:color w:val="auto"/>
          <w:sz w:val="24"/>
          <w:szCs w:val="24"/>
          <w:highlight w:val="none"/>
        </w:rPr>
      </w:pPr>
      <w:r>
        <w:rPr>
          <w:rFonts w:hAnsi="宋体" w:cs="宋体"/>
          <w:color w:val="auto"/>
          <w:sz w:val="24"/>
          <w:szCs w:val="24"/>
          <w:highlight w:val="none"/>
        </w:rPr>
        <w:br w:type="page"/>
      </w:r>
    </w:p>
    <w:tbl>
      <w:tblPr>
        <w:tblStyle w:val="13"/>
        <w:tblW w:w="47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900"/>
        <w:gridCol w:w="712"/>
        <w:gridCol w:w="4751"/>
        <w:gridCol w:w="1888"/>
      </w:tblGrid>
      <w:tr w14:paraId="544E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27" w:type="dxa"/>
            <w:vAlign w:val="center"/>
          </w:tcPr>
          <w:p w14:paraId="7060EE75">
            <w:pPr>
              <w:keepNext w:val="0"/>
              <w:keepLines w:val="0"/>
              <w:pageBreakBefore w:val="0"/>
              <w:widowControl w:val="0"/>
              <w:kinsoku/>
              <w:wordWrap/>
              <w:overflowPunct/>
              <w:topLinePunct w:val="0"/>
              <w:autoSpaceDE/>
              <w:autoSpaceDN/>
              <w:bidi w:val="0"/>
              <w:adjustRightInd/>
              <w:snapToGrid/>
              <w:spacing w:line="240" w:lineRule="auto"/>
              <w:ind w:firstLine="28"/>
              <w:jc w:val="center"/>
              <w:textAlignment w:val="auto"/>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序号</w:t>
            </w:r>
          </w:p>
        </w:tc>
        <w:tc>
          <w:tcPr>
            <w:tcW w:w="900" w:type="dxa"/>
            <w:vAlign w:val="center"/>
          </w:tcPr>
          <w:p w14:paraId="5AA6E52C">
            <w:pPr>
              <w:keepNext w:val="0"/>
              <w:keepLines w:val="0"/>
              <w:pageBreakBefore w:val="0"/>
              <w:widowControl w:val="0"/>
              <w:kinsoku/>
              <w:wordWrap/>
              <w:overflowPunct/>
              <w:topLinePunct w:val="0"/>
              <w:autoSpaceDE/>
              <w:autoSpaceDN/>
              <w:bidi w:val="0"/>
              <w:adjustRightInd/>
              <w:snapToGrid/>
              <w:spacing w:line="240" w:lineRule="auto"/>
              <w:ind w:firstLine="28"/>
              <w:jc w:val="center"/>
              <w:textAlignment w:val="auto"/>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评分因素及权值</w:t>
            </w:r>
          </w:p>
        </w:tc>
        <w:tc>
          <w:tcPr>
            <w:tcW w:w="712" w:type="dxa"/>
            <w:vAlign w:val="center"/>
          </w:tcPr>
          <w:p w14:paraId="4762A81E">
            <w:pPr>
              <w:keepNext w:val="0"/>
              <w:keepLines w:val="0"/>
              <w:pageBreakBefore w:val="0"/>
              <w:widowControl w:val="0"/>
              <w:kinsoku/>
              <w:wordWrap/>
              <w:overflowPunct/>
              <w:topLinePunct w:val="0"/>
              <w:autoSpaceDE/>
              <w:autoSpaceDN/>
              <w:bidi w:val="0"/>
              <w:adjustRightInd/>
              <w:snapToGrid/>
              <w:spacing w:line="240" w:lineRule="auto"/>
              <w:ind w:firstLine="28"/>
              <w:jc w:val="center"/>
              <w:textAlignment w:val="auto"/>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分值</w:t>
            </w:r>
          </w:p>
        </w:tc>
        <w:tc>
          <w:tcPr>
            <w:tcW w:w="4751" w:type="dxa"/>
            <w:vAlign w:val="center"/>
          </w:tcPr>
          <w:p w14:paraId="721711B8">
            <w:pPr>
              <w:keepNext w:val="0"/>
              <w:keepLines w:val="0"/>
              <w:pageBreakBefore w:val="0"/>
              <w:widowControl w:val="0"/>
              <w:kinsoku/>
              <w:wordWrap/>
              <w:overflowPunct/>
              <w:topLinePunct w:val="0"/>
              <w:autoSpaceDE/>
              <w:autoSpaceDN/>
              <w:bidi w:val="0"/>
              <w:adjustRightInd/>
              <w:snapToGrid/>
              <w:spacing w:line="240" w:lineRule="auto"/>
              <w:ind w:firstLine="28"/>
              <w:jc w:val="center"/>
              <w:textAlignment w:val="auto"/>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评分标准</w:t>
            </w:r>
          </w:p>
        </w:tc>
        <w:tc>
          <w:tcPr>
            <w:tcW w:w="1888" w:type="dxa"/>
            <w:vAlign w:val="center"/>
          </w:tcPr>
          <w:p w14:paraId="11BECEA7">
            <w:pPr>
              <w:keepNext w:val="0"/>
              <w:keepLines w:val="0"/>
              <w:pageBreakBefore w:val="0"/>
              <w:widowControl w:val="0"/>
              <w:kinsoku/>
              <w:wordWrap/>
              <w:overflowPunct/>
              <w:topLinePunct w:val="0"/>
              <w:autoSpaceDE/>
              <w:autoSpaceDN/>
              <w:bidi w:val="0"/>
              <w:adjustRightInd/>
              <w:snapToGrid/>
              <w:spacing w:line="240" w:lineRule="auto"/>
              <w:ind w:firstLine="28"/>
              <w:jc w:val="center"/>
              <w:textAlignment w:val="auto"/>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说明</w:t>
            </w:r>
          </w:p>
        </w:tc>
      </w:tr>
      <w:tr w14:paraId="54AD3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jc w:val="center"/>
        </w:trPr>
        <w:tc>
          <w:tcPr>
            <w:tcW w:w="527" w:type="dxa"/>
            <w:vAlign w:val="center"/>
          </w:tcPr>
          <w:p w14:paraId="631BA3C7">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900" w:type="dxa"/>
            <w:vAlign w:val="center"/>
          </w:tcPr>
          <w:p w14:paraId="17C6A081">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磋商报价</w:t>
            </w:r>
          </w:p>
          <w:p w14:paraId="4C1817BB">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（30%）</w:t>
            </w:r>
          </w:p>
        </w:tc>
        <w:tc>
          <w:tcPr>
            <w:tcW w:w="712" w:type="dxa"/>
            <w:vAlign w:val="center"/>
          </w:tcPr>
          <w:p w14:paraId="4D4B86CC">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30分</w:t>
            </w:r>
          </w:p>
        </w:tc>
        <w:tc>
          <w:tcPr>
            <w:tcW w:w="4751" w:type="dxa"/>
            <w:vAlign w:val="center"/>
          </w:tcPr>
          <w:p w14:paraId="735EACA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满足资格性、符合性要求且最后报价最低的供应商的价格为磋商基准价，其价格分为满分。其他供应商的价格分统一按照下列公式计算每个供应商的报价得分。</w:t>
            </w:r>
          </w:p>
          <w:p w14:paraId="4BA6343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磋商报价得分=（磋商基准价/最后磋商报价）×价格权值×100</w:t>
            </w:r>
          </w:p>
        </w:tc>
        <w:tc>
          <w:tcPr>
            <w:tcW w:w="1888" w:type="dxa"/>
            <w:vAlign w:val="center"/>
          </w:tcPr>
          <w:p w14:paraId="3483940B">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r>
      <w:tr w14:paraId="28CA0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7" w:type="dxa"/>
            <w:vMerge w:val="restart"/>
            <w:vAlign w:val="center"/>
          </w:tcPr>
          <w:p w14:paraId="0AFB324E">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900" w:type="dxa"/>
            <w:vMerge w:val="restart"/>
            <w:vAlign w:val="center"/>
          </w:tcPr>
          <w:p w14:paraId="4EB42EDD">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服务部分</w:t>
            </w:r>
          </w:p>
          <w:p w14:paraId="438AFF0F">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（50%）</w:t>
            </w:r>
          </w:p>
        </w:tc>
        <w:tc>
          <w:tcPr>
            <w:tcW w:w="712" w:type="dxa"/>
            <w:vMerge w:val="restart"/>
            <w:vAlign w:val="center"/>
          </w:tcPr>
          <w:p w14:paraId="659DD699">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服务方案（50分）</w:t>
            </w:r>
          </w:p>
        </w:tc>
        <w:tc>
          <w:tcPr>
            <w:tcW w:w="4751" w:type="dxa"/>
            <w:vAlign w:val="center"/>
          </w:tcPr>
          <w:p w14:paraId="0BDC2654">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1.对现状问题的分析和认识（</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w:t>
            </w:r>
          </w:p>
          <w:p w14:paraId="4410CCD6">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内容包括</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充分认识文物项目的特殊性，并基于对</w:t>
            </w:r>
            <w:r>
              <w:rPr>
                <w:rFonts w:hint="eastAsia" w:asciiTheme="minorEastAsia" w:hAnsiTheme="minorEastAsia" w:eastAsiaTheme="minorEastAsia" w:cstheme="minorEastAsia"/>
                <w:color w:val="auto"/>
                <w:sz w:val="21"/>
                <w:szCs w:val="21"/>
                <w:highlight w:val="none"/>
              </w:rPr>
              <w:t>项目现状</w:t>
            </w:r>
            <w:r>
              <w:rPr>
                <w:rFonts w:hint="eastAsia" w:asciiTheme="minorEastAsia" w:hAnsiTheme="minorEastAsia" w:eastAsiaTheme="minorEastAsia" w:cstheme="minorEastAsia"/>
                <w:color w:val="auto"/>
                <w:sz w:val="21"/>
                <w:szCs w:val="21"/>
                <w:highlight w:val="none"/>
                <w:lang w:val="en-US" w:eastAsia="zh-CN"/>
              </w:rPr>
              <w:t>情况的分析，结合保护性设施与文物本体、周围环境三者之间的关系，</w:t>
            </w:r>
            <w:r>
              <w:rPr>
                <w:rFonts w:hint="eastAsia" w:asciiTheme="minorEastAsia" w:hAnsiTheme="minorEastAsia" w:eastAsiaTheme="minorEastAsia" w:cstheme="minorEastAsia"/>
                <w:color w:val="auto"/>
                <w:sz w:val="21"/>
                <w:szCs w:val="21"/>
                <w:highlight w:val="none"/>
              </w:rPr>
              <w:t>对</w:t>
            </w:r>
            <w:r>
              <w:rPr>
                <w:rFonts w:hint="eastAsia" w:asciiTheme="minorEastAsia" w:hAnsiTheme="minorEastAsia" w:eastAsiaTheme="minorEastAsia" w:cstheme="minorEastAsia"/>
                <w:color w:val="auto"/>
                <w:sz w:val="21"/>
                <w:szCs w:val="21"/>
                <w:highlight w:val="none"/>
                <w:lang w:val="en-US" w:eastAsia="zh-CN"/>
              </w:rPr>
              <w:t>保护性设施</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color w:val="auto"/>
                <w:sz w:val="21"/>
                <w:szCs w:val="21"/>
                <w:highlight w:val="none"/>
                <w:lang w:val="en-US" w:eastAsia="zh-CN"/>
              </w:rPr>
              <w:t>设计理念及</w:t>
            </w:r>
            <w:r>
              <w:rPr>
                <w:rFonts w:hint="eastAsia" w:asciiTheme="minorEastAsia" w:hAnsiTheme="minorEastAsia" w:eastAsiaTheme="minorEastAsia" w:cstheme="minorEastAsia"/>
                <w:color w:val="auto"/>
                <w:sz w:val="21"/>
                <w:szCs w:val="21"/>
                <w:highlight w:val="none"/>
              </w:rPr>
              <w:t>技术要点</w:t>
            </w:r>
            <w:r>
              <w:rPr>
                <w:rFonts w:hint="eastAsia" w:asciiTheme="minorEastAsia" w:hAnsiTheme="minorEastAsia" w:eastAsiaTheme="minorEastAsia" w:cstheme="minorEastAsia"/>
                <w:color w:val="auto"/>
                <w:sz w:val="21"/>
                <w:szCs w:val="21"/>
                <w:highlight w:val="none"/>
                <w:lang w:val="en-US" w:eastAsia="zh-CN"/>
              </w:rPr>
              <w:t>进行阐述</w:t>
            </w:r>
            <w:r>
              <w:rPr>
                <w:rFonts w:hint="eastAsia" w:asciiTheme="minorEastAsia" w:hAnsiTheme="minorEastAsia" w:eastAsiaTheme="minorEastAsia" w:cstheme="minorEastAsia"/>
                <w:color w:val="auto"/>
                <w:sz w:val="21"/>
                <w:szCs w:val="21"/>
                <w:highlight w:val="none"/>
              </w:rPr>
              <w:t>。阐述内容包含上述所有内容，且对各项内容均进行描述的基础上，内容不存在瑕疵得</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分，阐述内容存在1处瑕疵得</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rPr>
              <w:t>分，存在2处瑕疵得</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分，存在3处瑕疵得</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分，存在4处及以上瑕疵或未提供方案得</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分，存在5处及以上瑕疵或未提供方案得0分。</w:t>
            </w:r>
          </w:p>
        </w:tc>
        <w:tc>
          <w:tcPr>
            <w:tcW w:w="1888" w:type="dxa"/>
            <w:vMerge w:val="restart"/>
            <w:vAlign w:val="center"/>
          </w:tcPr>
          <w:p w14:paraId="409103FC">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1.根据投标人提供的方案进行评分。</w:t>
            </w:r>
          </w:p>
          <w:p w14:paraId="0A8C485B">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2.评分标准中所称的“瑕疵”指以下任意一种情形：</w:t>
            </w:r>
          </w:p>
          <w:p w14:paraId="0DD8CD6B">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①内容表述不完整或仅有标题而无实质意义叙述；</w:t>
            </w:r>
          </w:p>
          <w:p w14:paraId="22989A1E">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②计划及措施不科学合理；</w:t>
            </w:r>
          </w:p>
          <w:p w14:paraId="191C74D1">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③内容表述前后矛盾、无连贯性、内容存在逻辑漏洞；</w:t>
            </w:r>
          </w:p>
          <w:p w14:paraId="3737E6C1">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④常识性错误；</w:t>
            </w:r>
          </w:p>
          <w:p w14:paraId="6031E2D1">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⑤措施安排并不适用本项目特性；</w:t>
            </w:r>
          </w:p>
          <w:p w14:paraId="11CFC694">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⑥方案中提出的措施举措不利于本项目目标的实现；</w:t>
            </w:r>
          </w:p>
          <w:p w14:paraId="4DC01B59">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⑦现有技术条件下不可能实现采购目标。</w:t>
            </w:r>
          </w:p>
        </w:tc>
      </w:tr>
      <w:tr w14:paraId="08C3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4" w:hRule="atLeast"/>
          <w:jc w:val="center"/>
        </w:trPr>
        <w:tc>
          <w:tcPr>
            <w:tcW w:w="527" w:type="dxa"/>
            <w:vMerge w:val="continue"/>
            <w:vAlign w:val="center"/>
          </w:tcPr>
          <w:p w14:paraId="050FC686">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c>
          <w:tcPr>
            <w:tcW w:w="900" w:type="dxa"/>
            <w:vMerge w:val="continue"/>
            <w:vAlign w:val="center"/>
          </w:tcPr>
          <w:p w14:paraId="4F52776B">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c>
          <w:tcPr>
            <w:tcW w:w="712" w:type="dxa"/>
            <w:vMerge w:val="continue"/>
            <w:vAlign w:val="center"/>
          </w:tcPr>
          <w:p w14:paraId="74167AFA">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c>
          <w:tcPr>
            <w:tcW w:w="4751" w:type="dxa"/>
            <w:vAlign w:val="center"/>
          </w:tcPr>
          <w:p w14:paraId="060667AB">
            <w:pPr>
              <w:ind w:firstLine="2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.项目改造方案（</w:t>
            </w:r>
            <w:r>
              <w:rPr>
                <w:rFonts w:hint="eastAsia" w:asciiTheme="minorEastAsia" w:hAnsiTheme="minorEastAsia" w:eastAsiaTheme="minorEastAsia" w:cstheme="minorEastAsia"/>
                <w:color w:val="auto"/>
                <w:sz w:val="21"/>
                <w:szCs w:val="21"/>
                <w:highlight w:val="none"/>
                <w:lang w:val="en-US" w:eastAsia="zh-CN"/>
              </w:rPr>
              <w:t>30</w:t>
            </w:r>
            <w:r>
              <w:rPr>
                <w:rFonts w:hint="eastAsia" w:asciiTheme="minorEastAsia" w:hAnsiTheme="minorEastAsia" w:eastAsiaTheme="minorEastAsia" w:cstheme="minorEastAsia"/>
                <w:color w:val="auto"/>
                <w:sz w:val="21"/>
                <w:szCs w:val="21"/>
                <w:highlight w:val="none"/>
              </w:rPr>
              <w:t>分）</w:t>
            </w:r>
          </w:p>
          <w:p w14:paraId="58ACF343">
            <w:pPr>
              <w:ind w:firstLine="2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内容包括</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根据前期分析及设计理念进行相关设计。</w:t>
            </w:r>
            <w:r>
              <w:rPr>
                <w:rFonts w:hint="eastAsia" w:asciiTheme="minorEastAsia" w:hAnsiTheme="minorEastAsia" w:eastAsiaTheme="minorEastAsia" w:cstheme="minorEastAsia"/>
                <w:color w:val="auto"/>
                <w:sz w:val="21"/>
                <w:szCs w:val="21"/>
                <w:highlight w:val="none"/>
              </w:rPr>
              <w:t>对项目可能存在的</w:t>
            </w:r>
            <w:r>
              <w:rPr>
                <w:rFonts w:hint="eastAsia" w:asciiTheme="minorEastAsia" w:hAnsiTheme="minorEastAsia" w:eastAsiaTheme="minorEastAsia" w:cstheme="minorEastAsia"/>
                <w:color w:val="auto"/>
                <w:sz w:val="21"/>
                <w:szCs w:val="21"/>
                <w:highlight w:val="none"/>
                <w:lang w:val="en-US" w:eastAsia="zh-CN"/>
              </w:rPr>
              <w:t>结构</w:t>
            </w:r>
            <w:r>
              <w:rPr>
                <w:rFonts w:hint="eastAsia" w:asciiTheme="minorEastAsia" w:hAnsiTheme="minorEastAsia" w:eastAsiaTheme="minorEastAsia" w:cstheme="minorEastAsia"/>
                <w:color w:val="auto"/>
                <w:sz w:val="21"/>
                <w:szCs w:val="21"/>
                <w:highlight w:val="none"/>
              </w:rPr>
              <w:t>隐患问题、结构</w:t>
            </w:r>
            <w:r>
              <w:rPr>
                <w:rFonts w:hint="eastAsia" w:asciiTheme="minorEastAsia" w:hAnsiTheme="minorEastAsia" w:eastAsiaTheme="minorEastAsia" w:cstheme="minorEastAsia"/>
                <w:color w:val="auto"/>
                <w:sz w:val="21"/>
                <w:szCs w:val="21"/>
                <w:highlight w:val="none"/>
                <w:lang w:val="en-US" w:eastAsia="zh-CN"/>
              </w:rPr>
              <w:t>重难点</w:t>
            </w:r>
            <w:r>
              <w:rPr>
                <w:rFonts w:hint="eastAsia" w:asciiTheme="minorEastAsia" w:hAnsiTheme="minorEastAsia" w:eastAsiaTheme="minorEastAsia" w:cstheme="minorEastAsia"/>
                <w:color w:val="auto"/>
                <w:sz w:val="21"/>
                <w:szCs w:val="21"/>
                <w:highlight w:val="none"/>
              </w:rPr>
              <w:t>问题提出设计解决方案。针对</w:t>
            </w:r>
            <w:r>
              <w:rPr>
                <w:rFonts w:hint="eastAsia" w:asciiTheme="minorEastAsia" w:hAnsiTheme="minorEastAsia" w:eastAsiaTheme="minorEastAsia" w:cstheme="minorEastAsia"/>
                <w:color w:val="auto"/>
                <w:sz w:val="21"/>
                <w:szCs w:val="21"/>
                <w:highlight w:val="none"/>
                <w:lang w:val="en-US" w:eastAsia="zh-CN"/>
              </w:rPr>
              <w:t>保护性设施</w:t>
            </w:r>
            <w:r>
              <w:rPr>
                <w:rFonts w:hint="eastAsia" w:asciiTheme="minorEastAsia" w:hAnsiTheme="minorEastAsia" w:eastAsiaTheme="minorEastAsia" w:cstheme="minorEastAsia"/>
                <w:color w:val="auto"/>
                <w:sz w:val="21"/>
                <w:szCs w:val="21"/>
                <w:highlight w:val="none"/>
              </w:rPr>
              <w:t>存在</w:t>
            </w:r>
            <w:r>
              <w:rPr>
                <w:rFonts w:hint="eastAsia" w:asciiTheme="minorEastAsia" w:hAnsiTheme="minorEastAsia" w:eastAsiaTheme="minorEastAsia" w:cstheme="minorEastAsia"/>
                <w:color w:val="auto"/>
                <w:sz w:val="21"/>
                <w:szCs w:val="21"/>
                <w:highlight w:val="none"/>
                <w:lang w:val="en-US" w:eastAsia="zh-CN"/>
              </w:rPr>
              <w:t>的</w:t>
            </w:r>
            <w:r>
              <w:rPr>
                <w:rFonts w:hint="eastAsia" w:asciiTheme="minorEastAsia" w:hAnsiTheme="minorEastAsia" w:eastAsiaTheme="minorEastAsia" w:cstheme="minorEastAsia"/>
                <w:color w:val="auto"/>
                <w:sz w:val="21"/>
                <w:szCs w:val="21"/>
                <w:highlight w:val="none"/>
              </w:rPr>
              <w:t>技术难点进行分析，并提出合理的</w:t>
            </w:r>
            <w:r>
              <w:rPr>
                <w:rFonts w:hint="eastAsia" w:asciiTheme="minorEastAsia" w:hAnsiTheme="minorEastAsia" w:eastAsiaTheme="minorEastAsia" w:cstheme="minorEastAsia"/>
                <w:color w:val="auto"/>
                <w:sz w:val="21"/>
                <w:szCs w:val="21"/>
                <w:highlight w:val="none"/>
                <w:lang w:val="en-US" w:eastAsia="zh-CN"/>
              </w:rPr>
              <w:t>解决</w:t>
            </w:r>
            <w:r>
              <w:rPr>
                <w:rFonts w:hint="eastAsia" w:asciiTheme="minorEastAsia" w:hAnsiTheme="minorEastAsia" w:eastAsiaTheme="minorEastAsia" w:cstheme="minorEastAsia"/>
                <w:color w:val="auto"/>
                <w:sz w:val="21"/>
                <w:szCs w:val="21"/>
                <w:highlight w:val="none"/>
              </w:rPr>
              <w:t>措施。</w:t>
            </w:r>
          </w:p>
          <w:p w14:paraId="4EB8F32A">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；阐述内容包含上述所有内容，且对各项内容均进行描述的基础上，内容不存在瑕疵得</w:t>
            </w:r>
            <w:r>
              <w:rPr>
                <w:rFonts w:hint="eastAsia" w:asciiTheme="minorEastAsia" w:hAnsiTheme="minorEastAsia" w:eastAsiaTheme="minorEastAsia" w:cstheme="minorEastAsia"/>
                <w:color w:val="auto"/>
                <w:sz w:val="21"/>
                <w:szCs w:val="21"/>
                <w:highlight w:val="none"/>
                <w:lang w:val="en-US" w:eastAsia="zh-CN"/>
              </w:rPr>
              <w:t>30</w:t>
            </w:r>
            <w:r>
              <w:rPr>
                <w:rFonts w:hint="eastAsia" w:asciiTheme="minorEastAsia" w:hAnsiTheme="minorEastAsia" w:eastAsiaTheme="minorEastAsia" w:cstheme="minorEastAsia"/>
                <w:color w:val="auto"/>
                <w:sz w:val="21"/>
                <w:szCs w:val="21"/>
                <w:highlight w:val="none"/>
              </w:rPr>
              <w:t>分，阐述内容存在1处瑕疵得</w:t>
            </w:r>
            <w:r>
              <w:rPr>
                <w:rFonts w:hint="eastAsia" w:asciiTheme="minorEastAsia" w:hAnsiTheme="minorEastAsia" w:eastAsiaTheme="minorEastAsia" w:cstheme="minorEastAsia"/>
                <w:color w:val="auto"/>
                <w:sz w:val="21"/>
                <w:szCs w:val="21"/>
                <w:highlight w:val="none"/>
                <w:lang w:val="en-US" w:eastAsia="zh-CN"/>
              </w:rPr>
              <w:t>24</w:t>
            </w:r>
            <w:r>
              <w:rPr>
                <w:rFonts w:hint="eastAsia" w:asciiTheme="minorEastAsia" w:hAnsiTheme="minorEastAsia" w:eastAsiaTheme="minorEastAsia" w:cstheme="minorEastAsia"/>
                <w:color w:val="auto"/>
                <w:sz w:val="21"/>
                <w:szCs w:val="21"/>
                <w:highlight w:val="none"/>
              </w:rPr>
              <w:t>分，存在2处瑕疵得</w:t>
            </w:r>
            <w:r>
              <w:rPr>
                <w:rFonts w:hint="eastAsia" w:asciiTheme="minorEastAsia" w:hAnsiTheme="minorEastAsia" w:eastAsiaTheme="minorEastAsia" w:cstheme="minorEastAsia"/>
                <w:color w:val="auto"/>
                <w:sz w:val="21"/>
                <w:szCs w:val="21"/>
                <w:highlight w:val="none"/>
                <w:lang w:val="en-US" w:eastAsia="zh-CN"/>
              </w:rPr>
              <w:t>18</w:t>
            </w:r>
            <w:r>
              <w:rPr>
                <w:rFonts w:hint="eastAsia" w:asciiTheme="minorEastAsia" w:hAnsiTheme="minorEastAsia" w:eastAsiaTheme="minorEastAsia" w:cstheme="minorEastAsia"/>
                <w:color w:val="auto"/>
                <w:sz w:val="21"/>
                <w:szCs w:val="21"/>
                <w:highlight w:val="none"/>
              </w:rPr>
              <w:t>分，存在3处瑕疵得</w:t>
            </w:r>
            <w:r>
              <w:rPr>
                <w:rFonts w:hint="eastAsia" w:asciiTheme="minorEastAsia" w:hAnsiTheme="minorEastAsia" w:eastAsia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rPr>
              <w:t>分，存在4处及以上瑕疵或未提供方案得</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分，存在5处及以上瑕疵或未提供方案得0分。</w:t>
            </w:r>
          </w:p>
        </w:tc>
        <w:tc>
          <w:tcPr>
            <w:tcW w:w="1888" w:type="dxa"/>
            <w:vMerge w:val="continue"/>
            <w:vAlign w:val="center"/>
          </w:tcPr>
          <w:p w14:paraId="091A6103">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r>
      <w:tr w14:paraId="54BE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527" w:type="dxa"/>
            <w:vMerge w:val="continue"/>
            <w:vAlign w:val="center"/>
          </w:tcPr>
          <w:p w14:paraId="241A57E5">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c>
          <w:tcPr>
            <w:tcW w:w="900" w:type="dxa"/>
            <w:vMerge w:val="continue"/>
            <w:vAlign w:val="center"/>
          </w:tcPr>
          <w:p w14:paraId="1B5CA22E">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c>
          <w:tcPr>
            <w:tcW w:w="712" w:type="dxa"/>
            <w:vMerge w:val="continue"/>
            <w:vAlign w:val="center"/>
          </w:tcPr>
          <w:p w14:paraId="1390D5FD">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c>
          <w:tcPr>
            <w:tcW w:w="4751" w:type="dxa"/>
            <w:vAlign w:val="center"/>
          </w:tcPr>
          <w:p w14:paraId="29409124">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后期服务及承诺（</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w:t>
            </w:r>
          </w:p>
          <w:p w14:paraId="6FAD6819">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内容包括</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提供相应的技术交底服务，参与竣工验收，配合并参与后期有关质量问题的分析和处理，保障</w:t>
            </w:r>
            <w:r>
              <w:rPr>
                <w:rFonts w:hint="eastAsia" w:asciiTheme="minorEastAsia" w:hAnsiTheme="minorEastAsia" w:eastAsiaTheme="minorEastAsia" w:cstheme="minorEastAsia"/>
                <w:color w:val="auto"/>
                <w:sz w:val="21"/>
                <w:szCs w:val="21"/>
                <w:highlight w:val="none"/>
              </w:rPr>
              <w:t>后期服务配合到位，措施切实可行。</w:t>
            </w:r>
          </w:p>
          <w:p w14:paraId="27170D87">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阐述内容包含上述所有内容，且对各项内容均进行描述的基础上，内容不存在瑕疵得</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分，阐述内容存在1处瑕疵得</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rPr>
              <w:t>分，存在2处瑕疵得</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分，存在3处瑕疵得</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分，存在4处及以上瑕疵或未提供方案得</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分，存在5处及以上瑕疵或未提供方案得0分。</w:t>
            </w:r>
          </w:p>
        </w:tc>
        <w:tc>
          <w:tcPr>
            <w:tcW w:w="1888" w:type="dxa"/>
            <w:vMerge w:val="continue"/>
            <w:vAlign w:val="center"/>
          </w:tcPr>
          <w:p w14:paraId="52A51E68">
            <w:pPr>
              <w:keepNext w:val="0"/>
              <w:keepLines w:val="0"/>
              <w:pageBreakBefore w:val="0"/>
              <w:widowControl w:val="0"/>
              <w:kinsoku/>
              <w:wordWrap/>
              <w:overflowPunct/>
              <w:topLinePunct w:val="0"/>
              <w:autoSpaceDE/>
              <w:autoSpaceDN/>
              <w:bidi w:val="0"/>
              <w:adjustRightInd/>
              <w:snapToGrid/>
              <w:spacing w:line="240" w:lineRule="auto"/>
              <w:ind w:firstLine="28"/>
              <w:textAlignment w:val="auto"/>
              <w:rPr>
                <w:rFonts w:asciiTheme="minorEastAsia" w:hAnsiTheme="minorEastAsia" w:eastAsiaTheme="minorEastAsia" w:cstheme="minorEastAsia"/>
                <w:color w:val="auto"/>
                <w:sz w:val="21"/>
                <w:szCs w:val="21"/>
                <w:highlight w:val="none"/>
              </w:rPr>
            </w:pPr>
          </w:p>
        </w:tc>
      </w:tr>
      <w:tr w14:paraId="05AD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8" w:hRule="atLeast"/>
          <w:jc w:val="center"/>
        </w:trPr>
        <w:tc>
          <w:tcPr>
            <w:tcW w:w="527" w:type="dxa"/>
            <w:shd w:val="clear" w:color="auto" w:fill="auto"/>
            <w:vAlign w:val="center"/>
          </w:tcPr>
          <w:p w14:paraId="070A9C5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900" w:type="dxa"/>
            <w:shd w:val="clear" w:color="auto" w:fill="auto"/>
            <w:vAlign w:val="center"/>
          </w:tcPr>
          <w:p w14:paraId="7BAE9E2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业绩部分（20%）</w:t>
            </w:r>
          </w:p>
        </w:tc>
        <w:tc>
          <w:tcPr>
            <w:tcW w:w="712" w:type="dxa"/>
            <w:shd w:val="clear" w:color="auto" w:fill="auto"/>
            <w:vAlign w:val="center"/>
          </w:tcPr>
          <w:p w14:paraId="3A31F46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业绩（20分）</w:t>
            </w:r>
          </w:p>
        </w:tc>
        <w:tc>
          <w:tcPr>
            <w:tcW w:w="4751" w:type="dxa"/>
            <w:shd w:val="clear" w:color="auto" w:fill="auto"/>
            <w:vAlign w:val="center"/>
          </w:tcPr>
          <w:p w14:paraId="13AA889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供应商2020年以来具备类似项目业绩经验，每提供一个合同得5分，最高20分。</w:t>
            </w:r>
          </w:p>
        </w:tc>
        <w:tc>
          <w:tcPr>
            <w:tcW w:w="1888" w:type="dxa"/>
            <w:vAlign w:val="center"/>
          </w:tcPr>
          <w:p w14:paraId="0F33EAA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提供合同复印件或中标通知书复印件并加盖公章。</w:t>
            </w:r>
          </w:p>
          <w:p w14:paraId="565F97EE">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供应商为该项目开具发票的凭证复印件并或该项目验收证明材料并加盖公章。</w:t>
            </w:r>
          </w:p>
          <w:p w14:paraId="5D4451D7">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提供不完全者不得分。</w:t>
            </w:r>
          </w:p>
        </w:tc>
      </w:tr>
    </w:tbl>
    <w:p w14:paraId="55E17ED8">
      <w:pPr>
        <w:pStyle w:val="8"/>
        <w:pageBreakBefore w:val="0"/>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p>
    <w:p w14:paraId="7967448E">
      <w:pPr>
        <w:pStyle w:val="8"/>
        <w:pageBreakBefore w:val="0"/>
        <w:kinsoku/>
        <w:wordWrap/>
        <w:overflowPunct/>
        <w:topLinePunct w:val="0"/>
        <w:bidi w:val="0"/>
        <w:spacing w:line="500" w:lineRule="exact"/>
        <w:ind w:firstLine="482" w:firstLineChars="200"/>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七、提交报价文件的份数和签署</w:t>
      </w:r>
    </w:p>
    <w:p w14:paraId="445B57E5">
      <w:pPr>
        <w:pStyle w:val="8"/>
        <w:pageBreakBefore w:val="0"/>
        <w:kinsoku/>
        <w:wordWrap/>
        <w:overflowPunct/>
        <w:topLinePunct w:val="0"/>
        <w:bidi w:val="0"/>
        <w:spacing w:line="500" w:lineRule="exact"/>
        <w:ind w:left="238" w:leftChars="85"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1.报价文件一式二份。其中正本一份，副本一份，副本可为正本的复印件，应与正本一致，如出现不一致情况以正本为准。</w:t>
      </w:r>
    </w:p>
    <w:p w14:paraId="61E42ED1">
      <w:pPr>
        <w:pStyle w:val="8"/>
        <w:pageBreakBefore w:val="0"/>
        <w:kinsoku/>
        <w:wordWrap/>
        <w:overflowPunct/>
        <w:topLinePunct w:val="0"/>
        <w:bidi w:val="0"/>
        <w:spacing w:line="500" w:lineRule="exact"/>
        <w:ind w:left="238" w:leftChars="85"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2.在报价文件中规定签署、盖章的地方必须按其规定签署、盖章。否则视为无效报价。</w:t>
      </w:r>
    </w:p>
    <w:p w14:paraId="6C1A47D6">
      <w:pPr>
        <w:pageBreakBefore w:val="0"/>
        <w:widowControl/>
        <w:kinsoku/>
        <w:wordWrap/>
        <w:overflowPunct/>
        <w:topLinePunct w:val="0"/>
        <w:bidi w:val="0"/>
        <w:spacing w:line="500" w:lineRule="exact"/>
        <w:ind w:firstLine="482" w:firstLineChars="200"/>
        <w:jc w:val="left"/>
        <w:textAlignment w:val="auto"/>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八、付款方式：</w:t>
      </w:r>
    </w:p>
    <w:p w14:paraId="03EB9759">
      <w:pPr>
        <w:pageBreakBefore w:val="0"/>
        <w:widowControl/>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合同签订后，成交供应商完成</w:t>
      </w:r>
      <w:r>
        <w:rPr>
          <w:rFonts w:hint="eastAsia" w:ascii="宋体" w:hAnsi="宋体" w:cs="宋体"/>
          <w:color w:val="auto"/>
          <w:kern w:val="0"/>
          <w:sz w:val="24"/>
          <w:szCs w:val="24"/>
          <w:highlight w:val="none"/>
        </w:rPr>
        <w:t>全部工作，</w:t>
      </w:r>
      <w:r>
        <w:rPr>
          <w:rFonts w:hint="eastAsia" w:ascii="宋体" w:hAnsi="宋体" w:cs="宋体"/>
          <w:color w:val="auto"/>
          <w:sz w:val="24"/>
          <w:szCs w:val="24"/>
          <w:highlight w:val="none"/>
        </w:rPr>
        <w:t>根据我院意见修改并</w:t>
      </w:r>
      <w:r>
        <w:rPr>
          <w:rFonts w:hint="eastAsia" w:ascii="宋体" w:hAnsi="宋体" w:cs="宋体"/>
          <w:color w:val="auto"/>
          <w:kern w:val="0"/>
          <w:sz w:val="24"/>
          <w:szCs w:val="24"/>
          <w:highlight w:val="none"/>
        </w:rPr>
        <w:t>通过我院验收，10个工作日内我院一次性支付全部工作经费</w:t>
      </w:r>
      <w:r>
        <w:rPr>
          <w:rFonts w:hint="eastAsia" w:ascii="宋体" w:hAnsi="宋体" w:cs="宋体"/>
          <w:color w:val="auto"/>
          <w:sz w:val="24"/>
          <w:szCs w:val="24"/>
          <w:highlight w:val="none"/>
        </w:rPr>
        <w:t>。成交供应商应在我院支付经费之前提供有效的票据，且成交供应商严格按照我院要求和格式提交相关资料，否则我院有权拒绝支付相关费用。</w:t>
      </w:r>
    </w:p>
    <w:p w14:paraId="458ADFA6">
      <w:pPr>
        <w:pageBreakBefore w:val="0"/>
        <w:widowControl/>
        <w:shd w:val="clear" w:color="auto" w:fill="FFFFFF"/>
        <w:kinsoku/>
        <w:wordWrap/>
        <w:overflowPunct/>
        <w:topLinePunct w:val="0"/>
        <w:bidi w:val="0"/>
        <w:spacing w:line="500" w:lineRule="exact"/>
        <w:ind w:firstLine="482" w:firstLineChars="200"/>
        <w:jc w:val="left"/>
        <w:textAlignment w:val="auto"/>
        <w:rPr>
          <w:rFonts w:hint="eastAsia" w:ascii="宋体" w:hAnsi="宋体" w:eastAsia="宋体" w:cs="宋体"/>
          <w:b/>
          <w:color w:val="auto"/>
          <w:kern w:val="0"/>
          <w:sz w:val="24"/>
          <w:szCs w:val="24"/>
          <w:highlight w:val="none"/>
          <w:lang w:val="en-US" w:eastAsia="zh-CN"/>
        </w:rPr>
      </w:pPr>
      <w:r>
        <w:rPr>
          <w:rFonts w:hint="eastAsia" w:ascii="宋体" w:hAnsi="宋体" w:cs="宋体"/>
          <w:b/>
          <w:color w:val="auto"/>
          <w:kern w:val="0"/>
          <w:sz w:val="24"/>
          <w:szCs w:val="24"/>
          <w:highlight w:val="none"/>
        </w:rPr>
        <w:t>九、报价要求</w:t>
      </w:r>
      <w:r>
        <w:rPr>
          <w:rFonts w:hint="eastAsia" w:ascii="宋体" w:hAnsi="宋体" w:cs="宋体"/>
          <w:b/>
          <w:color w:val="auto"/>
          <w:kern w:val="0"/>
          <w:sz w:val="24"/>
          <w:szCs w:val="24"/>
          <w:highlight w:val="none"/>
          <w:lang w:val="en-US" w:eastAsia="zh-CN"/>
        </w:rPr>
        <w:tab/>
      </w:r>
    </w:p>
    <w:p w14:paraId="1055381B">
      <w:pPr>
        <w:pageBreakBefore w:val="0"/>
        <w:widowControl/>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报价文件请于2025年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日中午12：00时前以快递或当面送达的方式递交，凡超出上述时限送达的报价文件均拒绝接受并视为贵单位放弃参与本项目报价。报价统一采用本《询比文件》附件报价函，否则视为无效报价。</w:t>
      </w:r>
    </w:p>
    <w:p w14:paraId="15892921">
      <w:pPr>
        <w:pageBreakBefore w:val="0"/>
        <w:widowControl/>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参与本项目询比的供应商不足3家的，则本项目重新开展询比。评审小组认为供应商的报价明显低于其他供应商的报价，有可能影响服务质量或者不能诚信履约的，应当要求其在合理的时间内提供盖章后的书面说明纸质件递交至现场或盖章后的电子文档说明扫描件传至指定邮箱，必要时提交相关证明材料；供应商不能证明其报价合理性的，评审小组应当将其作为无效投标处理。</w:t>
      </w:r>
    </w:p>
    <w:p w14:paraId="52EF94E0">
      <w:pPr>
        <w:pageBreakBefore w:val="0"/>
        <w:widowControl/>
        <w:kinsoku/>
        <w:wordWrap/>
        <w:overflowPunct/>
        <w:topLinePunct w:val="0"/>
        <w:bidi w:val="0"/>
        <w:spacing w:line="50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联系人：</w:t>
      </w:r>
      <w:r>
        <w:rPr>
          <w:rFonts w:hint="eastAsia" w:ascii="宋体" w:hAnsi="宋体" w:cs="宋体"/>
          <w:color w:val="auto"/>
          <w:sz w:val="24"/>
          <w:szCs w:val="24"/>
          <w:highlight w:val="none"/>
          <w:lang w:val="en-US" w:eastAsia="zh-CN"/>
        </w:rPr>
        <w:t>李老师</w:t>
      </w:r>
    </w:p>
    <w:p w14:paraId="0E793E06">
      <w:pPr>
        <w:pageBreakBefore w:val="0"/>
        <w:widowControl/>
        <w:kinsoku/>
        <w:wordWrap/>
        <w:overflowPunct/>
        <w:topLinePunct w:val="0"/>
        <w:bidi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联系电话：023-6352</w:t>
      </w:r>
      <w:r>
        <w:rPr>
          <w:rFonts w:hint="eastAsia" w:ascii="宋体" w:hAnsi="宋体" w:cs="宋体"/>
          <w:color w:val="auto"/>
          <w:sz w:val="24"/>
          <w:szCs w:val="24"/>
          <w:highlight w:val="none"/>
          <w:lang w:val="en-US" w:eastAsia="zh-CN"/>
        </w:rPr>
        <w:t>3574</w:t>
      </w:r>
    </w:p>
    <w:p w14:paraId="4590BB58">
      <w:pPr>
        <w:pageBreakBefore w:val="0"/>
        <w:widowControl/>
        <w:kinsoku/>
        <w:wordWrap/>
        <w:overflowPunct/>
        <w:topLinePunct w:val="0"/>
        <w:bidi w:val="0"/>
        <w:spacing w:line="500" w:lineRule="exact"/>
        <w:ind w:firstLine="480" w:firstLineChars="200"/>
        <w:jc w:val="left"/>
        <w:textAlignment w:val="auto"/>
        <w:rPr>
          <w:rFonts w:ascii="宋体" w:hAnsi="宋体" w:cs="宋体"/>
          <w:color w:val="auto"/>
          <w:kern w:val="0"/>
          <w:sz w:val="24"/>
          <w:szCs w:val="24"/>
          <w:highlight w:val="none"/>
        </w:rPr>
      </w:pPr>
      <w:r>
        <w:rPr>
          <w:rFonts w:hint="eastAsia" w:ascii="宋体" w:hAnsi="宋体" w:cs="宋体"/>
          <w:color w:val="auto"/>
          <w:sz w:val="24"/>
          <w:szCs w:val="24"/>
          <w:highlight w:val="none"/>
        </w:rPr>
        <w:t>邮寄地址：重庆市渝中区枇杷山正街72号重庆市文物考古研究院</w:t>
      </w:r>
    </w:p>
    <w:p w14:paraId="1CEB3384">
      <w:pPr>
        <w:pStyle w:val="4"/>
        <w:pageBreakBefore w:val="0"/>
        <w:kinsoku/>
        <w:wordWrap/>
        <w:overflowPunct/>
        <w:topLinePunct w:val="0"/>
        <w:bidi w:val="0"/>
        <w:spacing w:line="500" w:lineRule="exact"/>
        <w:ind w:firstLine="482"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十、其他</w:t>
      </w:r>
    </w:p>
    <w:p w14:paraId="55842B4B">
      <w:pPr>
        <w:pageBreakBefore w:val="0"/>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1.供应商向我院递交响应文件视为接受询比文件所有条款，并承诺工作成果必须达到询比文件的要求。</w:t>
      </w:r>
    </w:p>
    <w:p w14:paraId="23481384">
      <w:pPr>
        <w:pageBreakBefore w:val="0"/>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2.供应商须自行承诺其提供的响应文件中所有证明材料真实有效，不存在弄虚作假情形。</w:t>
      </w:r>
    </w:p>
    <w:p w14:paraId="6343DF4B">
      <w:pPr>
        <w:pageBreakBefore w:val="0"/>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我院在采购合同签订前均有权对供应商提供的报价文件中所有内容进行核实，若发现弄虚作假，取消其成交资格，并按相关法律法规报上级主管部门或重庆市财政局监督部门处理，并承担因此造成的相关责任并赔偿相应损失。</w:t>
      </w:r>
    </w:p>
    <w:p w14:paraId="49F22A14">
      <w:pPr>
        <w:pageBreakBefore w:val="0"/>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在采购合同签订后发现供应商提供的报价文件存在弄虚作假情形，有权立即解除合同，有权不退还其履约保证金（如有），并按相关法律法规报上级主管部门或重庆市财政局监督部门处理，并承担因此造成的相关责任并赔偿相应损失。</w:t>
      </w:r>
    </w:p>
    <w:p w14:paraId="711E08DE">
      <w:pPr>
        <w:pageBreakBefore w:val="0"/>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凡有意参加询比的供应商，请于公告发布之日起至报名截止时间之前，在重庆市文物考古研究院官网（www.cqkaogu.com）上下载查看本项目询比文件以及变更公告等询比前公布的所有项目资料，无论供应商下载查看与否，均视为已知晓所有询比实质性要求内容。</w:t>
      </w:r>
    </w:p>
    <w:p w14:paraId="5265FDA7">
      <w:pPr>
        <w:pageBreakBefore w:val="0"/>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cs="宋体"/>
          <w:color w:val="auto"/>
          <w:sz w:val="24"/>
          <w:szCs w:val="24"/>
          <w:highlight w:val="none"/>
        </w:rPr>
        <w:t>6.</w:t>
      </w:r>
      <w:r>
        <w:rPr>
          <w:rFonts w:hint="eastAsia" w:ascii="宋体" w:hAnsi="宋体" w:cs="宋体"/>
          <w:color w:val="auto"/>
          <w:sz w:val="24"/>
          <w:szCs w:val="24"/>
          <w:highlight w:val="none"/>
        </w:rPr>
        <w:t>单位负责人为同一人或者存在直接控股、管理关系的不同供应商，不得同时参与此次询比。</w:t>
      </w:r>
    </w:p>
    <w:p w14:paraId="3F66609A">
      <w:pPr>
        <w:pageBreakBefore w:val="0"/>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7.本项目不接受联合体参与评审。</w:t>
      </w:r>
    </w:p>
    <w:p w14:paraId="39551530">
      <w:pPr>
        <w:pageBreakBefore w:val="0"/>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8.不允许分包、转包。</w:t>
      </w:r>
    </w:p>
    <w:p w14:paraId="610E3646">
      <w:pPr>
        <w:pageBreakBefore w:val="0"/>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9.按照《财政部关于在政府采购活动中查询及使用信用记录有关问题的通知》财库〔2016〕125号，供应商列入失信被执行人、重大税收违法案件当事人名单、政府采购严重违法失信行为记录名单及其他不符合《中华人民共和国政府采购法》第二十二条规定条件的供应商，将拒绝其参与本院询比。</w:t>
      </w:r>
    </w:p>
    <w:p w14:paraId="6D70A317">
      <w:pPr>
        <w:pageBreakBefore w:val="0"/>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10.采购人应当自成交结果公示之日起二十日内，按照询比文件和成交供应商响应文件的约定，与成交供应商签订书面合同。所签订的合同不得对询比文件和供应商的响应文件作实质性修改。</w:t>
      </w:r>
    </w:p>
    <w:p w14:paraId="4196B143">
      <w:pPr>
        <w:pageBreakBefore w:val="0"/>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11.成交供应商在二十日内拒绝和采购人签订书面合同的、成交供应商放弃成交资格、因不可抗力不能履行合同、在合同签订前（或合同已签订但尚未履行的，撤销合同的）被查实响应文件存在弄虚作假或者被查实其他违法行为等情形的，采购人可以按照评标报告推荐的成交候选供应商顺序，确定排名下一位的候选人为成交供应商，也可以重新开展询比采购活动。</w:t>
      </w:r>
    </w:p>
    <w:p w14:paraId="08883403">
      <w:pPr>
        <w:pageBreakBefore w:val="0"/>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12.其他未尽事宜由供需双方在采购合同中详细约定。</w:t>
      </w:r>
      <w:r>
        <w:rPr>
          <w:rFonts w:ascii="宋体" w:hAnsi="宋体" w:cs="宋体"/>
          <w:color w:val="auto"/>
          <w:sz w:val="24"/>
          <w:szCs w:val="24"/>
          <w:highlight w:val="none"/>
        </w:rPr>
        <w:br w:type="page"/>
      </w:r>
    </w:p>
    <w:p w14:paraId="0E1293DA">
      <w:pPr>
        <w:pStyle w:val="4"/>
        <w:pageBreakBefore w:val="0"/>
        <w:kinsoku/>
        <w:wordWrap/>
        <w:overflowPunct/>
        <w:topLinePunct w:val="0"/>
        <w:bidi w:val="0"/>
        <w:spacing w:line="500" w:lineRule="exact"/>
        <w:ind w:firstLine="482" w:firstLineChars="200"/>
        <w:textAlignment w:val="auto"/>
        <w:rPr>
          <w:rFonts w:ascii="宋体" w:hAnsi="宋体" w:eastAsia="宋体" w:cs="宋体"/>
          <w:color w:val="auto"/>
          <w:sz w:val="24"/>
          <w:szCs w:val="24"/>
          <w:highlight w:val="none"/>
        </w:rPr>
      </w:pPr>
      <w:bookmarkStart w:id="0" w:name="_Toc9383"/>
      <w:bookmarkStart w:id="1" w:name="_Toc7138"/>
      <w:bookmarkStart w:id="2" w:name="_Toc22876"/>
      <w:bookmarkStart w:id="3" w:name="_Toc16028"/>
      <w:bookmarkStart w:id="4" w:name="_Toc1282"/>
      <w:bookmarkStart w:id="5" w:name="_Toc10403"/>
      <w:bookmarkStart w:id="6" w:name="_Toc22527"/>
      <w:bookmarkStart w:id="7" w:name="_Toc22073"/>
      <w:bookmarkStart w:id="8" w:name="_Toc29974"/>
      <w:bookmarkStart w:id="9" w:name="_Toc12789072"/>
      <w:bookmarkStart w:id="10" w:name="_Toc31704"/>
      <w:bookmarkStart w:id="11" w:name="_Toc29396"/>
      <w:bookmarkStart w:id="12" w:name="_Toc18883"/>
      <w:bookmarkStart w:id="13" w:name="_Toc25180"/>
      <w:bookmarkStart w:id="14" w:name="_Toc4905"/>
      <w:bookmarkStart w:id="15" w:name="_Toc26462"/>
      <w:bookmarkStart w:id="16" w:name="_Toc4385"/>
      <w:r>
        <w:rPr>
          <w:rFonts w:hint="eastAsia" w:ascii="宋体" w:hAnsi="宋体" w:eastAsia="宋体" w:cs="宋体"/>
          <w:color w:val="auto"/>
          <w:sz w:val="24"/>
          <w:szCs w:val="24"/>
          <w:highlight w:val="none"/>
        </w:rPr>
        <w:t>第十一、响应文件格式要求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358C256">
      <w:pPr>
        <w:pageBreakBefore w:val="0"/>
        <w:kinsoku/>
        <w:wordWrap/>
        <w:overflowPunct/>
        <w:topLinePunct w:val="0"/>
        <w:bidi w:val="0"/>
        <w:spacing w:line="500" w:lineRule="exact"/>
        <w:ind w:firstLine="482" w:firstLineChars="200"/>
        <w:textAlignment w:val="auto"/>
        <w:rPr>
          <w:rFonts w:ascii="宋体" w:hAnsi="宋体" w:cs="宋体"/>
          <w:b/>
          <w:color w:val="auto"/>
          <w:sz w:val="24"/>
          <w:szCs w:val="24"/>
          <w:highlight w:val="none"/>
        </w:rPr>
      </w:pPr>
      <w:r>
        <w:rPr>
          <w:rFonts w:hint="eastAsia" w:ascii="宋体" w:hAnsi="宋体" w:cs="宋体"/>
          <w:b/>
          <w:color w:val="auto"/>
          <w:sz w:val="24"/>
          <w:szCs w:val="24"/>
          <w:highlight w:val="none"/>
        </w:rPr>
        <w:t>一、经济文件</w:t>
      </w:r>
    </w:p>
    <w:p w14:paraId="69ED2B24">
      <w:pPr>
        <w:pageBreakBefore w:val="0"/>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（一）报价表</w:t>
      </w:r>
    </w:p>
    <w:p w14:paraId="2335F37F">
      <w:pPr>
        <w:pageBreakBefore w:val="0"/>
        <w:kinsoku/>
        <w:wordWrap/>
        <w:overflowPunct/>
        <w:topLinePunct w:val="0"/>
        <w:bidi w:val="0"/>
        <w:spacing w:line="500" w:lineRule="exact"/>
        <w:ind w:firstLine="482" w:firstLineChars="200"/>
        <w:textAlignment w:val="auto"/>
        <w:rPr>
          <w:rFonts w:ascii="宋体" w:hAnsi="宋体" w:cs="宋体"/>
          <w:b/>
          <w:color w:val="auto"/>
          <w:sz w:val="24"/>
          <w:szCs w:val="24"/>
          <w:highlight w:val="none"/>
        </w:rPr>
      </w:pPr>
      <w:r>
        <w:rPr>
          <w:rFonts w:hint="eastAsia" w:ascii="宋体" w:hAnsi="宋体" w:cs="宋体"/>
          <w:b/>
          <w:color w:val="auto"/>
          <w:sz w:val="24"/>
          <w:szCs w:val="24"/>
          <w:highlight w:val="none"/>
        </w:rPr>
        <w:t>二、服务文件</w:t>
      </w:r>
    </w:p>
    <w:p w14:paraId="0BFF5FD5">
      <w:pPr>
        <w:pageBreakBefore w:val="0"/>
        <w:kinsoku/>
        <w:wordWrap/>
        <w:overflowPunct/>
        <w:topLinePunct w:val="0"/>
        <w:bidi w:val="0"/>
        <w:spacing w:line="5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（一）服务方案</w:t>
      </w:r>
    </w:p>
    <w:p w14:paraId="31B61DBD">
      <w:pPr>
        <w:pageBreakBefore w:val="0"/>
        <w:kinsoku/>
        <w:wordWrap/>
        <w:overflowPunct/>
        <w:topLinePunct w:val="0"/>
        <w:bidi w:val="0"/>
        <w:spacing w:line="500" w:lineRule="exact"/>
        <w:ind w:firstLine="482" w:firstLineChars="200"/>
        <w:textAlignment w:val="auto"/>
        <w:rPr>
          <w:rFonts w:hint="default"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三、业绩</w:t>
      </w:r>
    </w:p>
    <w:p w14:paraId="427A43FF">
      <w:pPr>
        <w:pageBreakBefore w:val="0"/>
        <w:kinsoku/>
        <w:wordWrap/>
        <w:overflowPunct/>
        <w:topLinePunct w:val="0"/>
        <w:bidi w:val="0"/>
        <w:spacing w:line="500" w:lineRule="exact"/>
        <w:ind w:firstLine="482" w:firstLineChars="200"/>
        <w:textAlignment w:val="auto"/>
        <w:rPr>
          <w:rFonts w:ascii="宋体" w:hAnsi="宋体" w:cs="宋体"/>
          <w:b/>
          <w:color w:val="auto"/>
          <w:sz w:val="24"/>
          <w:szCs w:val="24"/>
          <w:highlight w:val="none"/>
        </w:rPr>
      </w:pPr>
      <w:r>
        <w:rPr>
          <w:rFonts w:hint="eastAsia" w:ascii="宋体" w:hAnsi="宋体" w:cs="宋体"/>
          <w:b/>
          <w:color w:val="auto"/>
          <w:sz w:val="24"/>
          <w:szCs w:val="24"/>
          <w:highlight w:val="none"/>
          <w:lang w:val="en-US" w:eastAsia="zh-CN"/>
        </w:rPr>
        <w:t>四</w:t>
      </w:r>
      <w:r>
        <w:rPr>
          <w:rFonts w:hint="eastAsia" w:ascii="宋体" w:hAnsi="宋体" w:cs="宋体"/>
          <w:b/>
          <w:color w:val="auto"/>
          <w:sz w:val="24"/>
          <w:szCs w:val="24"/>
          <w:highlight w:val="none"/>
        </w:rPr>
        <w:t>、资格文件</w:t>
      </w:r>
    </w:p>
    <w:p w14:paraId="05736B56">
      <w:pPr>
        <w:pageBreakBefore w:val="0"/>
        <w:tabs>
          <w:tab w:val="left" w:pos="6300"/>
        </w:tabs>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（一）营业执照（副本）或事业单位法人证书（副本）复印件</w:t>
      </w:r>
    </w:p>
    <w:p w14:paraId="22317FAC">
      <w:pPr>
        <w:pageBreakBefore w:val="0"/>
        <w:tabs>
          <w:tab w:val="left" w:pos="6300"/>
        </w:tabs>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（二）法定代表人身份证明书（格式）</w:t>
      </w:r>
    </w:p>
    <w:p w14:paraId="2AA50972">
      <w:pPr>
        <w:pageBreakBefore w:val="0"/>
        <w:tabs>
          <w:tab w:val="left" w:pos="6300"/>
        </w:tabs>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（三）法定代表人授权委托书（格式）</w:t>
      </w:r>
    </w:p>
    <w:p w14:paraId="2B090A20">
      <w:pPr>
        <w:pageBreakBefore w:val="0"/>
        <w:tabs>
          <w:tab w:val="left" w:pos="6300"/>
        </w:tabs>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（四）基本资格条件承诺函（格式）</w:t>
      </w:r>
    </w:p>
    <w:p w14:paraId="797246AA">
      <w:pPr>
        <w:pageBreakBefore w:val="0"/>
        <w:tabs>
          <w:tab w:val="left" w:pos="6300"/>
        </w:tabs>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（五）特定资格条件证明文件</w:t>
      </w:r>
    </w:p>
    <w:p w14:paraId="3CA7783C">
      <w:pPr>
        <w:pageBreakBefore w:val="0"/>
        <w:kinsoku/>
        <w:wordWrap/>
        <w:overflowPunct/>
        <w:topLinePunct w:val="0"/>
        <w:bidi w:val="0"/>
        <w:spacing w:line="500" w:lineRule="exact"/>
        <w:ind w:firstLine="482" w:firstLineChars="200"/>
        <w:textAlignment w:val="auto"/>
        <w:rPr>
          <w:rFonts w:hint="eastAsia" w:ascii="宋体" w:hAnsi="宋体" w:cs="宋体"/>
          <w:b/>
          <w:color w:val="auto"/>
          <w:sz w:val="24"/>
          <w:szCs w:val="24"/>
          <w:highlight w:val="none"/>
        </w:rPr>
      </w:pPr>
      <w:r>
        <w:rPr>
          <w:rFonts w:hint="eastAsia" w:ascii="宋体" w:hAnsi="宋体" w:cs="宋体"/>
          <w:b/>
          <w:color w:val="auto"/>
          <w:sz w:val="24"/>
          <w:szCs w:val="24"/>
          <w:highlight w:val="none"/>
        </w:rPr>
        <w:t>五、其他资料</w:t>
      </w:r>
    </w:p>
    <w:p w14:paraId="7D6A1F02">
      <w:pPr>
        <w:pageBreakBefore w:val="0"/>
        <w:tabs>
          <w:tab w:val="left" w:pos="6300"/>
        </w:tabs>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一</w:t>
      </w:r>
      <w:r>
        <w:rPr>
          <w:rFonts w:hint="eastAsia" w:ascii="宋体" w:hAnsi="宋体" w:cs="宋体"/>
          <w:color w:val="auto"/>
          <w:sz w:val="24"/>
          <w:szCs w:val="24"/>
          <w:highlight w:val="none"/>
        </w:rPr>
        <w:t>）其他与项目有关的资料</w:t>
      </w:r>
    </w:p>
    <w:p w14:paraId="520C3E05">
      <w:pPr>
        <w:pageBreakBefore w:val="0"/>
        <w:tabs>
          <w:tab w:val="left" w:pos="6300"/>
        </w:tabs>
        <w:kinsoku/>
        <w:wordWrap/>
        <w:overflowPunct/>
        <w:topLinePunct w:val="0"/>
        <w:bidi w:val="0"/>
        <w:spacing w:line="500" w:lineRule="exact"/>
        <w:ind w:firstLine="480" w:firstLineChars="200"/>
        <w:jc w:val="left"/>
        <w:textAlignment w:val="auto"/>
        <w:rPr>
          <w:rFonts w:hint="eastAsia" w:ascii="宋体" w:hAnsi="宋体" w:cs="宋体"/>
          <w:color w:val="auto"/>
          <w:sz w:val="24"/>
          <w:szCs w:val="24"/>
          <w:highlight w:val="none"/>
        </w:rPr>
      </w:pPr>
    </w:p>
    <w:p w14:paraId="3F5D6A98">
      <w:pPr>
        <w:pageBreakBefore w:val="0"/>
        <w:tabs>
          <w:tab w:val="left" w:pos="6300"/>
        </w:tabs>
        <w:kinsoku/>
        <w:wordWrap/>
        <w:overflowPunct/>
        <w:topLinePunct w:val="0"/>
        <w:bidi w:val="0"/>
        <w:spacing w:line="500" w:lineRule="exact"/>
        <w:ind w:firstLine="560" w:firstLineChars="200"/>
        <w:jc w:val="left"/>
        <w:textAlignment w:val="auto"/>
        <w:rPr>
          <w:color w:val="auto"/>
          <w:highlight w:val="none"/>
        </w:rPr>
      </w:pPr>
      <w:r>
        <w:rPr>
          <w:rFonts w:hint="eastAsia"/>
          <w:color w:val="auto"/>
          <w:highlight w:val="none"/>
        </w:rPr>
        <w:br w:type="page"/>
      </w:r>
    </w:p>
    <w:p w14:paraId="1392CD3C">
      <w:pPr>
        <w:pageBreakBefore w:val="0"/>
        <w:kinsoku/>
        <w:wordWrap/>
        <w:overflowPunct/>
        <w:topLinePunct w:val="0"/>
        <w:bidi w:val="0"/>
        <w:spacing w:line="500" w:lineRule="exact"/>
        <w:ind w:firstLine="560" w:firstLineChars="200"/>
        <w:textAlignment w:val="auto"/>
        <w:rPr>
          <w:color w:val="auto"/>
          <w:highlight w:val="none"/>
        </w:rPr>
      </w:pPr>
      <w:r>
        <w:rPr>
          <w:rFonts w:hint="eastAsia"/>
          <w:color w:val="auto"/>
          <w:highlight w:val="none"/>
        </w:rPr>
        <w:t>一、经济文件</w:t>
      </w:r>
    </w:p>
    <w:p w14:paraId="21A39169">
      <w:pPr>
        <w:pageBreakBefore w:val="0"/>
        <w:tabs>
          <w:tab w:val="left" w:pos="6300"/>
        </w:tabs>
        <w:kinsoku/>
        <w:wordWrap/>
        <w:overflowPunct/>
        <w:topLinePunct w:val="0"/>
        <w:bidi w:val="0"/>
        <w:snapToGrid w:val="0"/>
        <w:spacing w:line="500" w:lineRule="exact"/>
        <w:ind w:firstLine="723" w:firstLineChars="200"/>
        <w:jc w:val="center"/>
        <w:textAlignment w:val="auto"/>
        <w:rPr>
          <w:rFonts w:ascii="宋体" w:hAnsi="宋体" w:cs="宋体"/>
          <w:b/>
          <w:color w:val="auto"/>
          <w:sz w:val="36"/>
          <w:szCs w:val="36"/>
          <w:highlight w:val="none"/>
        </w:rPr>
      </w:pPr>
      <w:r>
        <w:rPr>
          <w:rFonts w:hint="eastAsia" w:ascii="宋体" w:hAnsi="宋体" w:cs="宋体"/>
          <w:b/>
          <w:color w:val="auto"/>
          <w:sz w:val="36"/>
          <w:szCs w:val="36"/>
          <w:highlight w:val="none"/>
        </w:rPr>
        <w:t>报价表</w:t>
      </w:r>
    </w:p>
    <w:p w14:paraId="07D50173">
      <w:pPr>
        <w:pageBreakBefore w:val="0"/>
        <w:tabs>
          <w:tab w:val="left" w:pos="6300"/>
        </w:tabs>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highlight w:val="none"/>
          <w:u w:val="single"/>
        </w:rPr>
        <w:t>重庆市文物考古研究院（重庆文化遗产保护中心）</w:t>
      </w:r>
      <w:r>
        <w:rPr>
          <w:rFonts w:hint="eastAsia" w:ascii="宋体" w:hAnsi="宋体" w:cs="宋体"/>
          <w:color w:val="auto"/>
          <w:sz w:val="24"/>
          <w:szCs w:val="24"/>
          <w:highlight w:val="none"/>
        </w:rPr>
        <w:t>：</w:t>
      </w:r>
    </w:p>
    <w:p w14:paraId="46691533">
      <w:pPr>
        <w:pageBreakBefore w:val="0"/>
        <w:tabs>
          <w:tab w:val="left" w:pos="6300"/>
        </w:tabs>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我方收到（询比项目名称）的询比文件，经详细研究，决定参加该询比项目的报价。</w:t>
      </w:r>
    </w:p>
    <w:p w14:paraId="723DCCAB">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1.我方愿意按照询比文件中的一切要求，提供本项目的服务，最终报价为人民币：</w:t>
      </w:r>
      <w:r>
        <w:rPr>
          <w:rFonts w:hint="eastAsia" w:ascii="宋体" w:hAnsi="宋体" w:cs="宋体"/>
          <w:color w:val="auto"/>
          <w:sz w:val="24"/>
          <w:szCs w:val="24"/>
          <w:highlight w:val="none"/>
          <w:u w:val="single"/>
        </w:rPr>
        <w:t>元  ，大写：  整</w:t>
      </w:r>
      <w:r>
        <w:rPr>
          <w:rFonts w:hint="eastAsia" w:ascii="宋体" w:hAnsi="宋体" w:cs="宋体"/>
          <w:color w:val="auto"/>
          <w:sz w:val="24"/>
          <w:szCs w:val="24"/>
          <w:highlight w:val="none"/>
        </w:rPr>
        <w:t>。</w:t>
      </w:r>
    </w:p>
    <w:p w14:paraId="4E569218">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2.我方完全理解并接受该项目询比文件所有要求。</w:t>
      </w:r>
    </w:p>
    <w:p w14:paraId="015A5655">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3.我方提交的所有文件、资料都是准确和真实的，如有虚假或隐瞒，我方愿意承担一切法律责任。</w:t>
      </w:r>
    </w:p>
    <w:p w14:paraId="74DEEFDB">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4.我方承诺按照询比文件要求，提供招标项目的服务。</w:t>
      </w:r>
    </w:p>
    <w:p w14:paraId="4A94B7DC">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5.我方按询比文件要求提交的响应文件为：正本1份，副本1份。</w:t>
      </w:r>
    </w:p>
    <w:p w14:paraId="028EDADE">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5.我方报价为闭口价。即在有效期和合同有效期内，该报价固定不变。</w:t>
      </w:r>
    </w:p>
    <w:p w14:paraId="3383FA31">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7.如果我方成交，我方将履行询比文件中规定的各项要求以及我方文件的各项承诺，《中华人民共和国政府采购法》、《中华人民共和国民法典》及合同约定条款承担我方责任。</w:t>
      </w:r>
    </w:p>
    <w:p w14:paraId="6FA9378B">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8.我方理解，最低报价不是成交的唯一条件。</w:t>
      </w:r>
    </w:p>
    <w:p w14:paraId="38B9CF1E">
      <w:pPr>
        <w:pageBreakBefore w:val="0"/>
        <w:tabs>
          <w:tab w:val="left" w:pos="6300"/>
        </w:tabs>
        <w:kinsoku/>
        <w:wordWrap/>
        <w:overflowPunct/>
        <w:topLinePunct w:val="0"/>
        <w:bidi w:val="0"/>
        <w:snapToGrid w:val="0"/>
        <w:spacing w:line="500" w:lineRule="exact"/>
        <w:ind w:left="278"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9.我方同意按有关规定及询比文件要求。</w:t>
      </w:r>
    </w:p>
    <w:p w14:paraId="6A275139">
      <w:pPr>
        <w:pageBreakBefore w:val="0"/>
        <w:tabs>
          <w:tab w:val="left" w:pos="6300"/>
        </w:tabs>
        <w:kinsoku/>
        <w:wordWrap/>
        <w:overflowPunct/>
        <w:topLinePunct w:val="0"/>
        <w:bidi w:val="0"/>
        <w:snapToGrid w:val="0"/>
        <w:spacing w:line="500" w:lineRule="exact"/>
        <w:ind w:left="478" w:leftChars="85" w:hanging="240" w:hangingChars="100"/>
        <w:textAlignment w:val="auto"/>
        <w:rPr>
          <w:rFonts w:ascii="宋体" w:hAnsi="宋体" w:cs="宋体"/>
          <w:color w:val="auto"/>
          <w:sz w:val="24"/>
          <w:szCs w:val="24"/>
          <w:highlight w:val="none"/>
        </w:rPr>
      </w:pPr>
    </w:p>
    <w:p w14:paraId="3CE1F557">
      <w:pPr>
        <w:pageBreakBefore w:val="0"/>
        <w:tabs>
          <w:tab w:val="left" w:pos="6300"/>
        </w:tabs>
        <w:kinsoku/>
        <w:wordWrap/>
        <w:overflowPunct/>
        <w:topLinePunct w:val="0"/>
        <w:bidi w:val="0"/>
        <w:snapToGrid w:val="0"/>
        <w:spacing w:line="500" w:lineRule="exact"/>
        <w:ind w:firstLine="570"/>
        <w:textAlignment w:val="auto"/>
        <w:rPr>
          <w:rFonts w:ascii="宋体" w:hAnsi="宋体" w:cs="宋体"/>
          <w:color w:val="auto"/>
          <w:sz w:val="24"/>
          <w:szCs w:val="24"/>
          <w:highlight w:val="none"/>
        </w:rPr>
      </w:pPr>
    </w:p>
    <w:p w14:paraId="4DB232D7">
      <w:pPr>
        <w:pageBreakBefore w:val="0"/>
        <w:tabs>
          <w:tab w:val="left" w:pos="6300"/>
        </w:tabs>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供应商（公章）签署：</w:t>
      </w:r>
    </w:p>
    <w:p w14:paraId="3277BBD7">
      <w:pPr>
        <w:pStyle w:val="11"/>
        <w:pageBreakBefore w:val="0"/>
        <w:kinsoku/>
        <w:wordWrap/>
        <w:overflowPunct/>
        <w:topLinePunct w:val="0"/>
        <w:bidi w:val="0"/>
        <w:snapToGrid w:val="0"/>
        <w:spacing w:line="500" w:lineRule="exact"/>
        <w:ind w:firstLine="480" w:firstLineChars="200"/>
        <w:textAlignment w:val="auto"/>
        <w:rPr>
          <w:rFonts w:eastAsia="宋体"/>
          <w:color w:val="auto"/>
          <w:highlight w:val="none"/>
        </w:rPr>
      </w:pPr>
      <w:r>
        <w:rPr>
          <w:rFonts w:hint="eastAsia" w:eastAsia="宋体" w:cs="宋体"/>
          <w:color w:val="auto"/>
          <w:szCs w:val="24"/>
          <w:highlight w:val="none"/>
        </w:rPr>
        <w:t>法定代表人（签字）：</w:t>
      </w:r>
    </w:p>
    <w:p w14:paraId="17F54473">
      <w:pPr>
        <w:pageBreakBefore w:val="0"/>
        <w:tabs>
          <w:tab w:val="left" w:pos="6300"/>
        </w:tabs>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地址：   </w:t>
      </w:r>
    </w:p>
    <w:p w14:paraId="3F5E9A7C">
      <w:pPr>
        <w:pageBreakBefore w:val="0"/>
        <w:tabs>
          <w:tab w:val="left" w:pos="6300"/>
        </w:tabs>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电话：                           传真：</w:t>
      </w:r>
    </w:p>
    <w:p w14:paraId="1B2738E0">
      <w:pPr>
        <w:pageBreakBefore w:val="0"/>
        <w:tabs>
          <w:tab w:val="left" w:pos="6300"/>
        </w:tabs>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网址：                           邮编：</w:t>
      </w:r>
    </w:p>
    <w:p w14:paraId="7F8CBAAB">
      <w:pPr>
        <w:pageBreakBefore w:val="0"/>
        <w:tabs>
          <w:tab w:val="left" w:pos="6300"/>
        </w:tabs>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联系人：</w:t>
      </w:r>
    </w:p>
    <w:p w14:paraId="0E415C50">
      <w:pPr>
        <w:pageBreakBefore w:val="0"/>
        <w:kinsoku/>
        <w:wordWrap/>
        <w:overflowPunct/>
        <w:topLinePunct w:val="0"/>
        <w:bidi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年   月   日</w:t>
      </w:r>
    </w:p>
    <w:p w14:paraId="0C1D70D7">
      <w:pPr>
        <w:pageBreakBefore w:val="0"/>
        <w:kinsoku/>
        <w:wordWrap/>
        <w:overflowPunct/>
        <w:topLinePunct w:val="0"/>
        <w:bidi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br w:type="page"/>
      </w:r>
    </w:p>
    <w:p w14:paraId="3A2E9820">
      <w:pPr>
        <w:pageBreakBefore w:val="0"/>
        <w:numPr>
          <w:ilvl w:val="0"/>
          <w:numId w:val="2"/>
        </w:numPr>
        <w:kinsoku/>
        <w:wordWrap/>
        <w:overflowPunct/>
        <w:topLinePunct w:val="0"/>
        <w:bidi w:val="0"/>
        <w:adjustRightInd w:val="0"/>
        <w:snapToGrid w:val="0"/>
        <w:spacing w:line="500" w:lineRule="exact"/>
        <w:ind w:firstLine="560" w:firstLineChars="200"/>
        <w:textAlignment w:val="auto"/>
        <w:rPr>
          <w:rFonts w:ascii="宋体" w:hAnsi="宋体" w:cs="宋体"/>
          <w:color w:val="auto"/>
          <w:highlight w:val="none"/>
        </w:rPr>
      </w:pPr>
      <w:r>
        <w:rPr>
          <w:rFonts w:hint="eastAsia" w:ascii="宋体" w:hAnsi="宋体" w:cs="宋体"/>
          <w:color w:val="auto"/>
          <w:highlight w:val="none"/>
        </w:rPr>
        <w:t>服务文件</w:t>
      </w:r>
    </w:p>
    <w:p w14:paraId="1A478BE2">
      <w:pPr>
        <w:pageBreakBefore w:val="0"/>
        <w:kinsoku/>
        <w:wordWrap/>
        <w:overflowPunct/>
        <w:topLinePunct w:val="0"/>
        <w:bidi w:val="0"/>
        <w:adjustRightInd w:val="0"/>
        <w:snapToGrid w:val="0"/>
        <w:spacing w:line="500" w:lineRule="exact"/>
        <w:ind w:firstLine="560" w:firstLineChars="200"/>
        <w:textAlignment w:val="auto"/>
        <w:rPr>
          <w:rFonts w:ascii="宋体" w:hAnsi="宋体" w:cs="宋体"/>
          <w:color w:val="auto"/>
          <w:highlight w:val="none"/>
        </w:rPr>
      </w:pPr>
      <w:r>
        <w:rPr>
          <w:rFonts w:hint="eastAsia" w:ascii="宋体" w:hAnsi="宋体" w:cs="宋体"/>
          <w:color w:val="auto"/>
          <w:highlight w:val="none"/>
        </w:rPr>
        <w:t>（一）服务方案</w:t>
      </w:r>
    </w:p>
    <w:p w14:paraId="7ABE9256">
      <w:pPr>
        <w:pageBreakBefore w:val="0"/>
        <w:kinsoku/>
        <w:wordWrap/>
        <w:overflowPunct/>
        <w:topLinePunct w:val="0"/>
        <w:bidi w:val="0"/>
        <w:adjustRightInd w:val="0"/>
        <w:snapToGrid w:val="0"/>
        <w:spacing w:line="500" w:lineRule="exact"/>
        <w:ind w:firstLine="560" w:firstLineChars="200"/>
        <w:textAlignment w:val="auto"/>
        <w:rPr>
          <w:rFonts w:ascii="宋体" w:hAnsi="宋体" w:cs="宋体"/>
          <w:color w:val="auto"/>
          <w:highlight w:val="none"/>
        </w:rPr>
      </w:pPr>
      <w:r>
        <w:rPr>
          <w:rFonts w:hint="eastAsia" w:ascii="宋体" w:hAnsi="宋体" w:cs="宋体"/>
          <w:color w:val="auto"/>
          <w:highlight w:val="none"/>
        </w:rPr>
        <w:br w:type="page"/>
      </w:r>
    </w:p>
    <w:p w14:paraId="6F8BB281">
      <w:pPr>
        <w:pageBreakBefore w:val="0"/>
        <w:numPr>
          <w:ilvl w:val="0"/>
          <w:numId w:val="2"/>
        </w:numPr>
        <w:kinsoku/>
        <w:wordWrap/>
        <w:overflowPunct/>
        <w:topLinePunct w:val="0"/>
        <w:bidi w:val="0"/>
        <w:adjustRightInd w:val="0"/>
        <w:snapToGrid w:val="0"/>
        <w:spacing w:line="500" w:lineRule="exact"/>
        <w:ind w:firstLine="560" w:firstLineChars="200"/>
        <w:textAlignment w:val="auto"/>
        <w:rPr>
          <w:rFonts w:ascii="宋体" w:hAnsi="宋体" w:cs="宋体"/>
          <w:color w:val="auto"/>
          <w:highlight w:val="none"/>
        </w:rPr>
      </w:pPr>
      <w:r>
        <w:rPr>
          <w:rFonts w:hint="eastAsia" w:ascii="宋体" w:hAnsi="宋体" w:cs="宋体"/>
          <w:color w:val="auto"/>
          <w:highlight w:val="none"/>
          <w:lang w:val="en-US" w:eastAsia="zh-CN"/>
        </w:rPr>
        <w:t>业绩</w:t>
      </w:r>
    </w:p>
    <w:p w14:paraId="592A9171">
      <w:pPr>
        <w:rPr>
          <w:rFonts w:ascii="宋体" w:hAnsi="宋体" w:cs="宋体"/>
          <w:color w:val="auto"/>
          <w:highlight w:val="none"/>
        </w:rPr>
      </w:pPr>
      <w:r>
        <w:rPr>
          <w:rFonts w:hint="eastAsia" w:ascii="宋体" w:hAnsi="宋体" w:cs="宋体"/>
          <w:color w:val="auto"/>
          <w:highlight w:val="none"/>
          <w:lang w:val="en-US" w:eastAsia="zh-CN"/>
        </w:rPr>
        <w:br w:type="page"/>
      </w:r>
    </w:p>
    <w:p w14:paraId="1029831D">
      <w:pPr>
        <w:pageBreakBefore w:val="0"/>
        <w:numPr>
          <w:ilvl w:val="0"/>
          <w:numId w:val="2"/>
        </w:numPr>
        <w:kinsoku/>
        <w:wordWrap/>
        <w:overflowPunct/>
        <w:topLinePunct w:val="0"/>
        <w:bidi w:val="0"/>
        <w:adjustRightInd w:val="0"/>
        <w:snapToGrid w:val="0"/>
        <w:spacing w:line="500" w:lineRule="exact"/>
        <w:ind w:firstLine="560" w:firstLineChars="200"/>
        <w:textAlignment w:val="auto"/>
        <w:rPr>
          <w:rFonts w:ascii="宋体" w:hAnsi="宋体" w:cs="宋体"/>
          <w:color w:val="auto"/>
          <w:highlight w:val="none"/>
        </w:rPr>
      </w:pPr>
      <w:r>
        <w:rPr>
          <w:rFonts w:hint="eastAsia" w:ascii="宋体" w:hAnsi="宋体" w:cs="宋体"/>
          <w:color w:val="auto"/>
          <w:highlight w:val="none"/>
        </w:rPr>
        <w:t>资格文件</w:t>
      </w:r>
    </w:p>
    <w:p w14:paraId="59A1A1F6">
      <w:pPr>
        <w:pageBreakBefore w:val="0"/>
        <w:tabs>
          <w:tab w:val="left" w:pos="6300"/>
        </w:tabs>
        <w:kinsoku/>
        <w:wordWrap/>
        <w:overflowPunct/>
        <w:topLinePunct w:val="0"/>
        <w:bidi w:val="0"/>
        <w:adjustRightInd w:val="0"/>
        <w:snapToGrid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（一）营业执照（副本）或事业单位法人证书（副本）复印件</w:t>
      </w:r>
    </w:p>
    <w:p w14:paraId="49C55817">
      <w:pPr>
        <w:pageBreakBefore w:val="0"/>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br w:type="page"/>
      </w:r>
      <w:bookmarkStart w:id="19" w:name="_GoBack"/>
      <w:bookmarkEnd w:id="19"/>
    </w:p>
    <w:p w14:paraId="2B9BA300">
      <w:pPr>
        <w:pageBreakBefore w:val="0"/>
        <w:numPr>
          <w:ilvl w:val="0"/>
          <w:numId w:val="3"/>
        </w:numPr>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法定代表人身份证明书（格式）</w:t>
      </w:r>
    </w:p>
    <w:p w14:paraId="1646E397">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项目名称：</w:t>
      </w:r>
      <w:r>
        <w:rPr>
          <w:rFonts w:hint="eastAsia" w:ascii="宋体" w:hAnsi="宋体" w:cs="宋体"/>
          <w:color w:val="auto"/>
          <w:sz w:val="24"/>
          <w:highlight w:val="none"/>
          <w:u w:val="single"/>
        </w:rPr>
        <w:t xml:space="preserve">                                                </w:t>
      </w:r>
    </w:p>
    <w:p w14:paraId="3B54992C">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30D0B65B">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重庆市文物考古研究院（重庆文化遗产保护中心） </w:t>
      </w:r>
      <w:r>
        <w:rPr>
          <w:rFonts w:hint="eastAsia" w:ascii="宋体" w:hAnsi="宋体" w:cs="宋体"/>
          <w:color w:val="auto"/>
          <w:sz w:val="24"/>
          <w:highlight w:val="none"/>
        </w:rPr>
        <w:t>：</w:t>
      </w:r>
    </w:p>
    <w:p w14:paraId="123B47ED">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（供应商名称）任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（职务名称）职务，是（供应商名称）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的法定代表人。</w:t>
      </w:r>
    </w:p>
    <w:p w14:paraId="3E76DEFE">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176A362B">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特此证明。</w:t>
      </w:r>
    </w:p>
    <w:p w14:paraId="27B1CF25">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6C6E0B5F">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7C690FCD">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0210F6A0">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 xml:space="preserve">                                             （供应商公章）</w:t>
      </w:r>
    </w:p>
    <w:p w14:paraId="49DEAFE3">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4529113D">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 xml:space="preserve">                                             年   月   日</w:t>
      </w:r>
    </w:p>
    <w:p w14:paraId="39EF17A5">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65FC2DE4">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法定代表人电话：XXXXXXX      电子邮箱：XXXXXX@XXXXX（若授权他人办理并签署响应文件的可不填写）</w:t>
      </w:r>
    </w:p>
    <w:p w14:paraId="688220A0">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（附：法定代表人身份证正反面复印件）</w:t>
      </w:r>
    </w:p>
    <w:p w14:paraId="621235BB">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0C174052">
      <w:pPr>
        <w:pageBreakBefore w:val="0"/>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br w:type="page"/>
      </w:r>
    </w:p>
    <w:p w14:paraId="16642C1D">
      <w:pPr>
        <w:pageBreakBefore w:val="0"/>
        <w:numPr>
          <w:ilvl w:val="0"/>
          <w:numId w:val="3"/>
        </w:numPr>
        <w:tabs>
          <w:tab w:val="left" w:pos="6300"/>
        </w:tabs>
        <w:kinsoku/>
        <w:wordWrap/>
        <w:overflowPunct/>
        <w:topLinePunct w:val="0"/>
        <w:bidi w:val="0"/>
        <w:adjustRightInd w:val="0"/>
        <w:snapToGrid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法定代表人授权委托书（格式）</w:t>
      </w:r>
    </w:p>
    <w:p w14:paraId="4D3E3A97">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szCs w:val="28"/>
          <w:highlight w:val="none"/>
        </w:rPr>
      </w:pPr>
    </w:p>
    <w:p w14:paraId="512F6840">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szCs w:val="28"/>
          <w:highlight w:val="none"/>
        </w:rPr>
        <w:t>项目名称</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p>
    <w:p w14:paraId="49DE55EE">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045E42B4">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重庆市文物考古研究院（重庆文化遗产保护中心）</w:t>
      </w:r>
      <w:r>
        <w:rPr>
          <w:rFonts w:hint="eastAsia" w:ascii="宋体" w:hAnsi="宋体" w:cs="宋体"/>
          <w:color w:val="auto"/>
          <w:sz w:val="24"/>
          <w:highlight w:val="none"/>
        </w:rPr>
        <w:t>：</w:t>
      </w:r>
    </w:p>
    <w:p w14:paraId="1CB39FBE">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（供应商法定代表人名称）是</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（供应商名称）的法定代表人，特授权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（被授权人姓名及身份证代码）代表我单位全权办理上述项目的响应、谈判、签约等具体工作，并签署全部有关文件、协议及合同。</w:t>
      </w:r>
    </w:p>
    <w:p w14:paraId="768D2332">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我单位对被授权人的签字负全部责任。</w:t>
      </w:r>
    </w:p>
    <w:p w14:paraId="65F07AC7">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在撤消授权的书面通知以前，本授权书一直有效。被授权人在授权书有效期内签署的所有文件不因授权的撤消而失效。</w:t>
      </w:r>
    </w:p>
    <w:p w14:paraId="2178122E">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039F4594">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6AA5000E">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被授权人：                                 供应商法定代表人：</w:t>
      </w:r>
    </w:p>
    <w:p w14:paraId="3E457AFA">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8"/>
          <w:highlight w:val="none"/>
        </w:rPr>
      </w:pPr>
      <w:r>
        <w:rPr>
          <w:rFonts w:hint="eastAsia" w:ascii="宋体" w:hAnsi="宋体" w:cs="宋体"/>
          <w:color w:val="auto"/>
          <w:sz w:val="24"/>
          <w:szCs w:val="28"/>
          <w:highlight w:val="none"/>
        </w:rPr>
        <w:t>（签字或盖章）                                （签字或盖章）</w:t>
      </w:r>
    </w:p>
    <w:p w14:paraId="2E4AA18E">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szCs w:val="28"/>
          <w:highlight w:val="none"/>
        </w:rPr>
      </w:pPr>
    </w:p>
    <w:p w14:paraId="7B7C6498">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1B490467">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（附：被授权人身份证正反面复印件）</w:t>
      </w:r>
    </w:p>
    <w:p w14:paraId="5CC3C615">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 xml:space="preserve">                                          </w:t>
      </w:r>
    </w:p>
    <w:p w14:paraId="7EC764E9">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highlight w:val="none"/>
        </w:rPr>
      </w:pPr>
    </w:p>
    <w:p w14:paraId="0D64C19C">
      <w:pPr>
        <w:pageBreakBefore w:val="0"/>
        <w:tabs>
          <w:tab w:val="left" w:pos="6300"/>
        </w:tabs>
        <w:kinsoku/>
        <w:wordWrap/>
        <w:overflowPunct/>
        <w:topLinePunct w:val="0"/>
        <w:bidi w:val="0"/>
        <w:adjustRightInd w:val="0"/>
        <w:snapToGrid w:val="0"/>
        <w:spacing w:line="500" w:lineRule="exact"/>
        <w:ind w:right="480" w:firstLine="480" w:firstLineChars="200"/>
        <w:jc w:val="right"/>
        <w:textAlignment w:val="auto"/>
        <w:rPr>
          <w:rFonts w:ascii="宋体" w:hAnsi="宋体" w:cs="宋体"/>
          <w:color w:val="auto"/>
          <w:sz w:val="24"/>
          <w:highlight w:val="none"/>
        </w:rPr>
      </w:pPr>
      <w:r>
        <w:rPr>
          <w:rFonts w:hint="eastAsia" w:ascii="宋体" w:hAnsi="宋体" w:cs="宋体"/>
          <w:color w:val="auto"/>
          <w:sz w:val="24"/>
          <w:highlight w:val="none"/>
        </w:rPr>
        <w:t>（供应商公章）</w:t>
      </w:r>
    </w:p>
    <w:p w14:paraId="5F8B7ABA">
      <w:pPr>
        <w:pageBreakBefore w:val="0"/>
        <w:tabs>
          <w:tab w:val="left" w:pos="6300"/>
        </w:tabs>
        <w:kinsoku/>
        <w:wordWrap/>
        <w:overflowPunct/>
        <w:topLinePunct w:val="0"/>
        <w:bidi w:val="0"/>
        <w:adjustRightInd w:val="0"/>
        <w:snapToGrid w:val="0"/>
        <w:spacing w:line="500" w:lineRule="exact"/>
        <w:ind w:right="480" w:firstLine="480" w:firstLineChars="200"/>
        <w:jc w:val="right"/>
        <w:textAlignment w:val="auto"/>
        <w:rPr>
          <w:rFonts w:ascii="宋体" w:hAnsi="宋体" w:cs="宋体"/>
          <w:color w:val="auto"/>
          <w:sz w:val="24"/>
          <w:highlight w:val="none"/>
        </w:rPr>
      </w:pPr>
      <w:r>
        <w:rPr>
          <w:rFonts w:hint="eastAsia" w:ascii="宋体" w:hAnsi="宋体" w:cs="宋体"/>
          <w:color w:val="auto"/>
          <w:sz w:val="24"/>
          <w:highlight w:val="none"/>
        </w:rPr>
        <w:t>年   月   日</w:t>
      </w:r>
    </w:p>
    <w:p w14:paraId="64342674">
      <w:pPr>
        <w:pageBreakBefore w:val="0"/>
        <w:tabs>
          <w:tab w:val="left" w:pos="6300"/>
        </w:tabs>
        <w:kinsoku/>
        <w:wordWrap/>
        <w:overflowPunct/>
        <w:topLinePunct w:val="0"/>
        <w:bidi w:val="0"/>
        <w:adjustRightInd w:val="0"/>
        <w:snapToGrid w:val="0"/>
        <w:spacing w:line="500" w:lineRule="exact"/>
        <w:ind w:right="480"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被授权人电话：XXXXXXX     电子邮箱：XXXXXX@XXXXX（若法定代表人办理并签署响应文件的可不填写）</w:t>
      </w:r>
    </w:p>
    <w:p w14:paraId="70D8FB2C">
      <w:pPr>
        <w:pageBreakBefore w:val="0"/>
        <w:tabs>
          <w:tab w:val="left" w:pos="6300"/>
        </w:tabs>
        <w:kinsoku/>
        <w:wordWrap/>
        <w:overflowPunct/>
        <w:topLinePunct w:val="0"/>
        <w:bidi w:val="0"/>
        <w:adjustRightInd w:val="0"/>
        <w:snapToGrid w:val="0"/>
        <w:spacing w:line="500" w:lineRule="exact"/>
        <w:ind w:right="480"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注：</w:t>
      </w:r>
    </w:p>
    <w:p w14:paraId="749A79ED">
      <w:pPr>
        <w:pStyle w:val="2"/>
        <w:pageBreakBefore w:val="0"/>
        <w:kinsoku/>
        <w:wordWrap/>
        <w:overflowPunct/>
        <w:topLinePunct w:val="0"/>
        <w:bidi w:val="0"/>
        <w:adjustRightInd w:val="0"/>
        <w:snapToGrid w:val="0"/>
        <w:spacing w:line="500" w:lineRule="exact"/>
        <w:ind w:left="570" w:firstLine="480" w:firstLineChars="200"/>
        <w:textAlignment w:val="auto"/>
        <w:rPr>
          <w:rFonts w:ascii="宋体" w:hAnsi="宋体" w:eastAsia="宋体" w:cs="宋体"/>
          <w:color w:val="auto"/>
          <w:highlight w:val="none"/>
        </w:rPr>
      </w:pPr>
      <w:r>
        <w:rPr>
          <w:rFonts w:hint="eastAsia" w:ascii="宋体" w:hAnsi="宋体" w:eastAsia="宋体" w:cs="宋体"/>
          <w:color w:val="auto"/>
          <w:sz w:val="24"/>
          <w:highlight w:val="none"/>
        </w:rPr>
        <w:t>1.若为法定代表人办理并签署响应文件的，不提供此文件。</w:t>
      </w:r>
    </w:p>
    <w:p w14:paraId="59052A32">
      <w:pPr>
        <w:pageBreakBefore w:val="0"/>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br w:type="page"/>
      </w:r>
    </w:p>
    <w:p w14:paraId="20D9B43A">
      <w:pPr>
        <w:pageBreakBefore w:val="0"/>
        <w:tabs>
          <w:tab w:val="left" w:pos="6300"/>
        </w:tabs>
        <w:kinsoku/>
        <w:wordWrap/>
        <w:overflowPunct/>
        <w:topLinePunct w:val="0"/>
        <w:bidi w:val="0"/>
        <w:adjustRightInd w:val="0"/>
        <w:snapToGrid w:val="0"/>
        <w:spacing w:line="50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（四）基本资格条件承诺函（格式）</w:t>
      </w:r>
    </w:p>
    <w:p w14:paraId="59C2F5AF">
      <w:pPr>
        <w:pageBreakBefore w:val="0"/>
        <w:tabs>
          <w:tab w:val="left" w:pos="6300"/>
        </w:tabs>
        <w:kinsoku/>
        <w:wordWrap/>
        <w:overflowPunct/>
        <w:topLinePunct w:val="0"/>
        <w:bidi w:val="0"/>
        <w:adjustRightInd w:val="0"/>
        <w:snapToGrid w:val="0"/>
        <w:spacing w:line="500" w:lineRule="exact"/>
        <w:ind w:firstLine="480" w:firstLineChars="200"/>
        <w:jc w:val="center"/>
        <w:textAlignment w:val="auto"/>
        <w:rPr>
          <w:rFonts w:ascii="宋体" w:hAnsi="宋体" w:cs="宋体"/>
          <w:color w:val="auto"/>
          <w:sz w:val="24"/>
          <w:szCs w:val="24"/>
          <w:highlight w:val="none"/>
        </w:rPr>
      </w:pPr>
      <w:r>
        <w:rPr>
          <w:rFonts w:hint="eastAsia" w:ascii="宋体" w:hAnsi="宋体" w:cs="宋体"/>
          <w:color w:val="auto"/>
          <w:sz w:val="24"/>
          <w:szCs w:val="24"/>
          <w:highlight w:val="none"/>
        </w:rPr>
        <w:t>基本资格条件承诺函</w:t>
      </w:r>
    </w:p>
    <w:p w14:paraId="161F79C9">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szCs w:val="24"/>
          <w:highlight w:val="none"/>
        </w:rPr>
      </w:pPr>
    </w:p>
    <w:p w14:paraId="6424E342">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致</w:t>
      </w:r>
      <w:r>
        <w:rPr>
          <w:rFonts w:hint="eastAsia" w:ascii="宋体" w:hAnsi="宋体" w:cs="宋体"/>
          <w:color w:val="auto"/>
          <w:sz w:val="24"/>
          <w:szCs w:val="24"/>
          <w:highlight w:val="none"/>
          <w:u w:val="single"/>
        </w:rPr>
        <w:t xml:space="preserve"> </w:t>
      </w:r>
      <w:r>
        <w:rPr>
          <w:rFonts w:hint="eastAsia" w:ascii="宋体" w:hAnsi="宋体" w:cs="宋体"/>
          <w:color w:val="auto"/>
          <w:sz w:val="24"/>
          <w:highlight w:val="none"/>
          <w:u w:val="single"/>
        </w:rPr>
        <w:t>重庆市文物考古研究院（重庆文化遗产保护中心）</w:t>
      </w:r>
      <w:r>
        <w:rPr>
          <w:rFonts w:hint="eastAsia" w:ascii="宋体" w:hAnsi="宋体" w:cs="宋体"/>
          <w:color w:val="auto"/>
          <w:sz w:val="24"/>
          <w:szCs w:val="24"/>
          <w:highlight w:val="none"/>
        </w:rPr>
        <w:t>：</w:t>
      </w:r>
    </w:p>
    <w:p w14:paraId="5A304A60">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（供应商名称）郑重承诺：</w:t>
      </w:r>
    </w:p>
    <w:p w14:paraId="62444760">
      <w:pPr>
        <w:pageBreakBefore w:val="0"/>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1.我方具有良好的商业信誉和健全的财务会计制度，具有履行合同所必需的设备和专业技术能力，具</w:t>
      </w:r>
      <w:r>
        <w:rPr>
          <w:rFonts w:hint="eastAsia" w:ascii="宋体" w:hAnsi="宋体" w:cs="宋体"/>
          <w:color w:val="auto"/>
          <w:sz w:val="24"/>
          <w:szCs w:val="24"/>
          <w:highlight w:val="none"/>
          <w:lang w:val="zh-CN"/>
        </w:rPr>
        <w:t>有依法缴纳税收和社会保障金的良好记录</w:t>
      </w:r>
      <w:r>
        <w:rPr>
          <w:rFonts w:hint="eastAsia" w:ascii="宋体" w:hAnsi="宋体" w:cs="宋体"/>
          <w:color w:val="auto"/>
          <w:sz w:val="24"/>
          <w:szCs w:val="24"/>
          <w:highlight w:val="none"/>
        </w:rPr>
        <w:t>，满足法律、行政法规规定的其他条件，参加本项目采购活动前三年内无重大违法活动记录。</w:t>
      </w:r>
    </w:p>
    <w:p w14:paraId="38B850CE">
      <w:pPr>
        <w:pageBreakBefore w:val="0"/>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2.我方未列入在信用中国网站（www.creditchina.gov.cn）“失信被执行人”、“重大税收违法案件当事人名单”中，也未列入中国政府采购网（www.ccgp.gov.cn）“政府采购严重违法失信行为记录名单”中。</w:t>
      </w:r>
    </w:p>
    <w:p w14:paraId="0BE31CBF">
      <w:pPr>
        <w:pageBreakBefore w:val="0"/>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3.我方在采购项目评审（评标）环节结束后，随时接受采购人的检查验证，配合提供相关证明材料，证明符合《中华人民共和国政府采购法》规定的投标人基本资格条件。</w:t>
      </w:r>
    </w:p>
    <w:p w14:paraId="445F224A">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我方对以上承诺负全部法律责任。</w:t>
      </w:r>
    </w:p>
    <w:p w14:paraId="32D22967">
      <w:pPr>
        <w:pageBreakBefore w:val="0"/>
        <w:tabs>
          <w:tab w:val="left" w:pos="6300"/>
        </w:tabs>
        <w:kinsoku/>
        <w:wordWrap/>
        <w:overflowPunct/>
        <w:topLinePunct w:val="0"/>
        <w:bidi w:val="0"/>
        <w:adjustRightInd w:val="0"/>
        <w:snapToGrid w:val="0"/>
        <w:spacing w:line="500" w:lineRule="exact"/>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特此承诺。</w:t>
      </w:r>
    </w:p>
    <w:p w14:paraId="6B630BA3">
      <w:pPr>
        <w:pageBreakBefore w:val="0"/>
        <w:tabs>
          <w:tab w:val="left" w:pos="6300"/>
        </w:tabs>
        <w:kinsoku/>
        <w:wordWrap/>
        <w:overflowPunct/>
        <w:topLinePunct w:val="0"/>
        <w:bidi w:val="0"/>
        <w:adjustRightInd w:val="0"/>
        <w:snapToGrid w:val="0"/>
        <w:spacing w:line="500" w:lineRule="exact"/>
        <w:textAlignment w:val="auto"/>
        <w:rPr>
          <w:rFonts w:ascii="宋体" w:hAnsi="宋体" w:cs="宋体"/>
          <w:color w:val="auto"/>
          <w:sz w:val="24"/>
          <w:szCs w:val="24"/>
          <w:highlight w:val="none"/>
        </w:rPr>
      </w:pPr>
    </w:p>
    <w:p w14:paraId="6F51FD36">
      <w:pPr>
        <w:pageBreakBefore w:val="0"/>
        <w:tabs>
          <w:tab w:val="left" w:pos="6300"/>
        </w:tabs>
        <w:kinsoku/>
        <w:wordWrap/>
        <w:overflowPunct/>
        <w:topLinePunct w:val="0"/>
        <w:bidi w:val="0"/>
        <w:adjustRightInd w:val="0"/>
        <w:snapToGrid w:val="0"/>
        <w:spacing w:line="500" w:lineRule="exact"/>
        <w:ind w:right="424" w:firstLine="480" w:firstLineChars="20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（供应商公章）</w:t>
      </w:r>
    </w:p>
    <w:p w14:paraId="0C61A7CB">
      <w:pPr>
        <w:pageBreakBefore w:val="0"/>
        <w:kinsoku/>
        <w:wordWrap/>
        <w:overflowPunct/>
        <w:topLinePunct w:val="0"/>
        <w:bidi w:val="0"/>
        <w:adjustRightInd w:val="0"/>
        <w:snapToGrid w:val="0"/>
        <w:spacing w:line="500" w:lineRule="exact"/>
        <w:ind w:firstLine="480" w:firstLineChars="20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年   月   日</w:t>
      </w:r>
    </w:p>
    <w:p w14:paraId="2329CBC6">
      <w:pPr>
        <w:rPr>
          <w:rFonts w:hint="eastAsia" w:ascii="宋体" w:hAnsi="宋体" w:eastAsia="宋体" w:cs="宋体"/>
          <w:color w:val="auto"/>
          <w:highlight w:val="none"/>
        </w:rPr>
      </w:pPr>
      <w:r>
        <w:rPr>
          <w:rFonts w:ascii="宋体" w:hAnsi="宋体" w:eastAsia="宋体" w:cs="宋体"/>
          <w:color w:val="auto"/>
          <w:highlight w:val="none"/>
        </w:rPr>
        <w:br w:type="page"/>
      </w:r>
      <w:r>
        <w:rPr>
          <w:rFonts w:hint="eastAsia" w:ascii="宋体" w:hAnsi="宋体" w:eastAsia="宋体" w:cs="宋体"/>
          <w:color w:val="auto"/>
          <w:highlight w:val="none"/>
        </w:rPr>
        <w:t>（五）特定资格条件证明文件</w:t>
      </w:r>
    </w:p>
    <w:p w14:paraId="240A5974">
      <w:pPr>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br w:type="page"/>
      </w:r>
    </w:p>
    <w:p w14:paraId="2C1524BB">
      <w:pPr>
        <w:rPr>
          <w:rFonts w:hint="eastAsia" w:ascii="宋体" w:hAnsi="宋体" w:eastAsia="宋体" w:cs="宋体"/>
          <w:color w:val="auto"/>
          <w:highlight w:val="none"/>
        </w:rPr>
      </w:pPr>
      <w:bookmarkStart w:id="17" w:name="_Toc76462354"/>
      <w:bookmarkStart w:id="18" w:name="_Toc106030910"/>
      <w:r>
        <w:rPr>
          <w:rFonts w:hint="eastAsia" w:ascii="宋体" w:hAnsi="宋体" w:eastAsia="宋体" w:cs="宋体"/>
          <w:color w:val="auto"/>
          <w:highlight w:val="none"/>
        </w:rPr>
        <w:t>五、其他资料</w:t>
      </w:r>
      <w:bookmarkEnd w:id="17"/>
      <w:bookmarkEnd w:id="18"/>
    </w:p>
    <w:p w14:paraId="69E64331">
      <w:pPr>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w:t>
      </w:r>
      <w:r>
        <w:rPr>
          <w:rFonts w:hint="eastAsia" w:ascii="宋体" w:hAnsi="宋体" w:cs="宋体"/>
          <w:color w:val="auto"/>
          <w:highlight w:val="none"/>
          <w:lang w:val="en-US" w:eastAsia="zh-CN"/>
        </w:rPr>
        <w:t>一</w:t>
      </w:r>
      <w:r>
        <w:rPr>
          <w:rFonts w:hint="default" w:ascii="宋体" w:hAnsi="宋体" w:eastAsia="宋体" w:cs="宋体"/>
          <w:color w:val="auto"/>
          <w:highlight w:val="none"/>
          <w:lang w:val="en-US" w:eastAsia="zh-CN"/>
        </w:rPr>
        <w:t>）其他与项目有关的资料</w:t>
      </w:r>
    </w:p>
    <w:p w14:paraId="0A0F0E4A">
      <w:pPr>
        <w:rPr>
          <w:rFonts w:hint="default"/>
          <w:lang w:val="en-US" w:eastAsia="zh-CN"/>
        </w:rPr>
      </w:pPr>
    </w:p>
    <w:sectPr>
      <w:pgSz w:w="11906" w:h="16838"/>
      <w:pgMar w:top="1984" w:right="1446" w:bottom="1644" w:left="144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C67DC45-234B-41CB-B5C1-7ED7A6F8D8CC}"/>
  </w:font>
  <w:font w:name="方正书宋_GBK">
    <w:panose1 w:val="03000509000000000000"/>
    <w:charset w:val="86"/>
    <w:family w:val="auto"/>
    <w:pitch w:val="default"/>
    <w:sig w:usb0="00000001" w:usb1="080E0000" w:usb2="00000000" w:usb3="00000000" w:csb0="00040000" w:csb1="00000000"/>
  </w:font>
  <w:font w:name="方正黑体_GBK">
    <w:panose1 w:val="0201060001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E0000" w:usb2="00000000" w:usb3="00000000" w:csb0="00040000" w:csb1="00000000"/>
    <w:embedRegular r:id="rId2" w:fontKey="{15C9EE15-5F24-471B-80D1-CA4D157623A2}"/>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2BAEC"/>
    <w:multiLevelType w:val="singleLevel"/>
    <w:tmpl w:val="BF72BAEC"/>
    <w:lvl w:ilvl="0" w:tentative="0">
      <w:start w:val="1"/>
      <w:numFmt w:val="decimal"/>
      <w:lvlText w:val="%1."/>
      <w:lvlJc w:val="left"/>
      <w:pPr>
        <w:tabs>
          <w:tab w:val="left" w:pos="312"/>
        </w:tabs>
      </w:pPr>
    </w:lvl>
  </w:abstractNum>
  <w:abstractNum w:abstractNumId="1">
    <w:nsid w:val="1CEACBD7"/>
    <w:multiLevelType w:val="singleLevel"/>
    <w:tmpl w:val="1CEACBD7"/>
    <w:lvl w:ilvl="0" w:tentative="0">
      <w:start w:val="2"/>
      <w:numFmt w:val="chineseCounting"/>
      <w:suff w:val="nothing"/>
      <w:lvlText w:val="%1、"/>
      <w:lvlJc w:val="left"/>
      <w:rPr>
        <w:rFonts w:hint="eastAsia"/>
      </w:rPr>
    </w:lvl>
  </w:abstractNum>
  <w:abstractNum w:abstractNumId="2">
    <w:nsid w:val="2C7BAC3A"/>
    <w:multiLevelType w:val="singleLevel"/>
    <w:tmpl w:val="2C7BAC3A"/>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jNWI3NDVkMWFmZDEwZDc1ZmM4MzZlZTgwMTQ0NTkifQ=="/>
  </w:docVars>
  <w:rsids>
    <w:rsidRoot w:val="59E049F9"/>
    <w:rsid w:val="00064C13"/>
    <w:rsid w:val="00086F93"/>
    <w:rsid w:val="000D0663"/>
    <w:rsid w:val="0017384A"/>
    <w:rsid w:val="001B364E"/>
    <w:rsid w:val="001D10D5"/>
    <w:rsid w:val="00246061"/>
    <w:rsid w:val="00304D8F"/>
    <w:rsid w:val="0030640D"/>
    <w:rsid w:val="00342047"/>
    <w:rsid w:val="003548C5"/>
    <w:rsid w:val="0036487C"/>
    <w:rsid w:val="00367CE0"/>
    <w:rsid w:val="00383D91"/>
    <w:rsid w:val="003E7BD8"/>
    <w:rsid w:val="00404D54"/>
    <w:rsid w:val="00421585"/>
    <w:rsid w:val="004A3312"/>
    <w:rsid w:val="004E3546"/>
    <w:rsid w:val="00581752"/>
    <w:rsid w:val="005F4816"/>
    <w:rsid w:val="00614881"/>
    <w:rsid w:val="006861B0"/>
    <w:rsid w:val="0073688F"/>
    <w:rsid w:val="007369A0"/>
    <w:rsid w:val="00786BF5"/>
    <w:rsid w:val="007C7BC8"/>
    <w:rsid w:val="008C4FCD"/>
    <w:rsid w:val="0098392B"/>
    <w:rsid w:val="009923D2"/>
    <w:rsid w:val="00993073"/>
    <w:rsid w:val="00A46F64"/>
    <w:rsid w:val="00A87144"/>
    <w:rsid w:val="00AE3302"/>
    <w:rsid w:val="00C11603"/>
    <w:rsid w:val="00C313FB"/>
    <w:rsid w:val="00C646FA"/>
    <w:rsid w:val="00D115E7"/>
    <w:rsid w:val="00D119D7"/>
    <w:rsid w:val="00D13CB1"/>
    <w:rsid w:val="00D32689"/>
    <w:rsid w:val="00D351A9"/>
    <w:rsid w:val="00D70EC2"/>
    <w:rsid w:val="00DA54CF"/>
    <w:rsid w:val="00DA5DAF"/>
    <w:rsid w:val="00DB4E80"/>
    <w:rsid w:val="00E57DE3"/>
    <w:rsid w:val="00F0487F"/>
    <w:rsid w:val="00F4063A"/>
    <w:rsid w:val="00F46C9A"/>
    <w:rsid w:val="01B0664E"/>
    <w:rsid w:val="022E1402"/>
    <w:rsid w:val="022F436A"/>
    <w:rsid w:val="031464AA"/>
    <w:rsid w:val="033C49A3"/>
    <w:rsid w:val="03812F6D"/>
    <w:rsid w:val="038327FA"/>
    <w:rsid w:val="041476CE"/>
    <w:rsid w:val="04182746"/>
    <w:rsid w:val="046B249C"/>
    <w:rsid w:val="04AE776B"/>
    <w:rsid w:val="05177476"/>
    <w:rsid w:val="058B3D03"/>
    <w:rsid w:val="06AE0611"/>
    <w:rsid w:val="073D32F5"/>
    <w:rsid w:val="080261BB"/>
    <w:rsid w:val="086230FE"/>
    <w:rsid w:val="08923E32"/>
    <w:rsid w:val="089808CE"/>
    <w:rsid w:val="09E518F1"/>
    <w:rsid w:val="0ACD1B3D"/>
    <w:rsid w:val="0ADD3FAE"/>
    <w:rsid w:val="0B122005"/>
    <w:rsid w:val="0B3C19E4"/>
    <w:rsid w:val="0B9454AB"/>
    <w:rsid w:val="0BD41410"/>
    <w:rsid w:val="0C34090D"/>
    <w:rsid w:val="0CDD2D53"/>
    <w:rsid w:val="0CF63E15"/>
    <w:rsid w:val="0DC6708C"/>
    <w:rsid w:val="0E3736F1"/>
    <w:rsid w:val="0F4E618A"/>
    <w:rsid w:val="0F8558BB"/>
    <w:rsid w:val="103C1664"/>
    <w:rsid w:val="10E540B1"/>
    <w:rsid w:val="116976BC"/>
    <w:rsid w:val="11BB562D"/>
    <w:rsid w:val="11D72467"/>
    <w:rsid w:val="136E71D2"/>
    <w:rsid w:val="13706BF0"/>
    <w:rsid w:val="140D7D73"/>
    <w:rsid w:val="1421769B"/>
    <w:rsid w:val="14932D03"/>
    <w:rsid w:val="14C8253B"/>
    <w:rsid w:val="15455939"/>
    <w:rsid w:val="16C32FBA"/>
    <w:rsid w:val="181B0BD3"/>
    <w:rsid w:val="191E1684"/>
    <w:rsid w:val="1972585E"/>
    <w:rsid w:val="19F87477"/>
    <w:rsid w:val="1B541453"/>
    <w:rsid w:val="1BC51582"/>
    <w:rsid w:val="1C1A2D59"/>
    <w:rsid w:val="1C4C57FF"/>
    <w:rsid w:val="1CB239FF"/>
    <w:rsid w:val="1CB659F1"/>
    <w:rsid w:val="200E05B1"/>
    <w:rsid w:val="20917897"/>
    <w:rsid w:val="20B215DB"/>
    <w:rsid w:val="20C544AF"/>
    <w:rsid w:val="20CB6CB7"/>
    <w:rsid w:val="211F1734"/>
    <w:rsid w:val="214C2ADA"/>
    <w:rsid w:val="21E309B4"/>
    <w:rsid w:val="221B2A67"/>
    <w:rsid w:val="22D447A0"/>
    <w:rsid w:val="23C95987"/>
    <w:rsid w:val="24B108F5"/>
    <w:rsid w:val="2593624D"/>
    <w:rsid w:val="25981347"/>
    <w:rsid w:val="270D67FE"/>
    <w:rsid w:val="27133A29"/>
    <w:rsid w:val="27321A96"/>
    <w:rsid w:val="27A74CA5"/>
    <w:rsid w:val="28D11CDD"/>
    <w:rsid w:val="28E53263"/>
    <w:rsid w:val="29010B9E"/>
    <w:rsid w:val="29D00809"/>
    <w:rsid w:val="2B9106D3"/>
    <w:rsid w:val="2BBF5B57"/>
    <w:rsid w:val="2BDA4BD6"/>
    <w:rsid w:val="2BF64F9C"/>
    <w:rsid w:val="2C482A44"/>
    <w:rsid w:val="2C964A81"/>
    <w:rsid w:val="2CC31B0E"/>
    <w:rsid w:val="2E5444E9"/>
    <w:rsid w:val="2E84707B"/>
    <w:rsid w:val="2EC211EA"/>
    <w:rsid w:val="304765B2"/>
    <w:rsid w:val="30D23125"/>
    <w:rsid w:val="31061FC9"/>
    <w:rsid w:val="32130337"/>
    <w:rsid w:val="328062C5"/>
    <w:rsid w:val="33907E8C"/>
    <w:rsid w:val="341474A9"/>
    <w:rsid w:val="347F2794"/>
    <w:rsid w:val="349E3D54"/>
    <w:rsid w:val="34A62CC8"/>
    <w:rsid w:val="36D23C54"/>
    <w:rsid w:val="371E0A02"/>
    <w:rsid w:val="381C797F"/>
    <w:rsid w:val="39A20CFD"/>
    <w:rsid w:val="3AA06FEA"/>
    <w:rsid w:val="3AE05CBA"/>
    <w:rsid w:val="3AF47336"/>
    <w:rsid w:val="3B924490"/>
    <w:rsid w:val="3B997DD0"/>
    <w:rsid w:val="3C07622C"/>
    <w:rsid w:val="3C157564"/>
    <w:rsid w:val="3C1B5BAC"/>
    <w:rsid w:val="3CA07775"/>
    <w:rsid w:val="3EB92D70"/>
    <w:rsid w:val="3EE37A50"/>
    <w:rsid w:val="3F0A35CC"/>
    <w:rsid w:val="4048174B"/>
    <w:rsid w:val="405614B0"/>
    <w:rsid w:val="40EC2905"/>
    <w:rsid w:val="41612E9A"/>
    <w:rsid w:val="41DE4E43"/>
    <w:rsid w:val="41F06C79"/>
    <w:rsid w:val="423609B2"/>
    <w:rsid w:val="424B3172"/>
    <w:rsid w:val="43137E8F"/>
    <w:rsid w:val="43F81467"/>
    <w:rsid w:val="449776B0"/>
    <w:rsid w:val="44A1408B"/>
    <w:rsid w:val="44A742AF"/>
    <w:rsid w:val="44C81693"/>
    <w:rsid w:val="4763768D"/>
    <w:rsid w:val="47E51F57"/>
    <w:rsid w:val="48142270"/>
    <w:rsid w:val="489B5295"/>
    <w:rsid w:val="49796A18"/>
    <w:rsid w:val="49FE5F07"/>
    <w:rsid w:val="4A8A4377"/>
    <w:rsid w:val="4B2E1B45"/>
    <w:rsid w:val="4C116F1B"/>
    <w:rsid w:val="4E0B6A19"/>
    <w:rsid w:val="4E7D5950"/>
    <w:rsid w:val="4FA76912"/>
    <w:rsid w:val="50357D7D"/>
    <w:rsid w:val="505418DC"/>
    <w:rsid w:val="516910D1"/>
    <w:rsid w:val="51D5531F"/>
    <w:rsid w:val="52901701"/>
    <w:rsid w:val="530838A3"/>
    <w:rsid w:val="530A3D39"/>
    <w:rsid w:val="53536E98"/>
    <w:rsid w:val="540B4436"/>
    <w:rsid w:val="54FC26B7"/>
    <w:rsid w:val="553D1193"/>
    <w:rsid w:val="557032B8"/>
    <w:rsid w:val="56EE00F5"/>
    <w:rsid w:val="57197D25"/>
    <w:rsid w:val="5764628E"/>
    <w:rsid w:val="579441B0"/>
    <w:rsid w:val="57A51342"/>
    <w:rsid w:val="57DB745C"/>
    <w:rsid w:val="588F683A"/>
    <w:rsid w:val="58CD4FF7"/>
    <w:rsid w:val="599022FF"/>
    <w:rsid w:val="59E049F9"/>
    <w:rsid w:val="59ED08EF"/>
    <w:rsid w:val="5A8272CD"/>
    <w:rsid w:val="5B3004B0"/>
    <w:rsid w:val="5B751975"/>
    <w:rsid w:val="5BC97B55"/>
    <w:rsid w:val="5CC84710"/>
    <w:rsid w:val="5E623282"/>
    <w:rsid w:val="5EC53368"/>
    <w:rsid w:val="5F8605F5"/>
    <w:rsid w:val="61F061FA"/>
    <w:rsid w:val="624774C3"/>
    <w:rsid w:val="62DE1443"/>
    <w:rsid w:val="63853D7F"/>
    <w:rsid w:val="639D2CD2"/>
    <w:rsid w:val="63A07F6E"/>
    <w:rsid w:val="64C073DB"/>
    <w:rsid w:val="657667D3"/>
    <w:rsid w:val="65A45331"/>
    <w:rsid w:val="65D42E42"/>
    <w:rsid w:val="65EA5B1B"/>
    <w:rsid w:val="65FC7315"/>
    <w:rsid w:val="679F4002"/>
    <w:rsid w:val="682269E1"/>
    <w:rsid w:val="68C161FA"/>
    <w:rsid w:val="69023EE9"/>
    <w:rsid w:val="6AB04778"/>
    <w:rsid w:val="6C1578A5"/>
    <w:rsid w:val="6C45090D"/>
    <w:rsid w:val="6EB20ABF"/>
    <w:rsid w:val="6EC1311E"/>
    <w:rsid w:val="6F767D3E"/>
    <w:rsid w:val="71272553"/>
    <w:rsid w:val="71A010A2"/>
    <w:rsid w:val="74335E05"/>
    <w:rsid w:val="748D2A60"/>
    <w:rsid w:val="752D2B8E"/>
    <w:rsid w:val="75774810"/>
    <w:rsid w:val="76996286"/>
    <w:rsid w:val="76AF44D0"/>
    <w:rsid w:val="76F53C3E"/>
    <w:rsid w:val="77912E40"/>
    <w:rsid w:val="79147DDA"/>
    <w:rsid w:val="79EC7DDC"/>
    <w:rsid w:val="7B7339E4"/>
    <w:rsid w:val="7BBD0AA3"/>
    <w:rsid w:val="7CC3637C"/>
    <w:rsid w:val="7CED3690"/>
    <w:rsid w:val="7D983576"/>
    <w:rsid w:val="7EAC2B50"/>
    <w:rsid w:val="7EEF5417"/>
    <w:rsid w:val="7EF90044"/>
    <w:rsid w:val="7F364DF4"/>
    <w:rsid w:val="7F3E1EFB"/>
    <w:rsid w:val="7FEE56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0"/>
    <w:pPr>
      <w:keepNext/>
      <w:snapToGrid w:val="0"/>
      <w:spacing w:line="360" w:lineRule="atLeast"/>
      <w:outlineLvl w:val="0"/>
    </w:pPr>
    <w:rPr>
      <w:rFonts w:ascii="宋体"/>
    </w:rPr>
  </w:style>
  <w:style w:type="paragraph" w:styleId="4">
    <w:name w:val="heading 2"/>
    <w:basedOn w:val="1"/>
    <w:next w:val="1"/>
    <w:qFormat/>
    <w:uiPriority w:val="0"/>
    <w:pPr>
      <w:keepNext/>
      <w:keepLines/>
      <w:spacing w:line="413" w:lineRule="auto"/>
      <w:outlineLvl w:val="1"/>
    </w:pPr>
    <w:rPr>
      <w:rFonts w:ascii="Arial" w:hAnsi="Arial" w:eastAsia="黑体"/>
      <w:b/>
      <w:sz w:val="32"/>
    </w:rPr>
  </w:style>
  <w:style w:type="paragraph" w:styleId="5">
    <w:name w:val="heading 3"/>
    <w:basedOn w:val="1"/>
    <w:next w:val="1"/>
    <w:qFormat/>
    <w:uiPriority w:val="0"/>
    <w:pPr>
      <w:keepNext/>
      <w:keepLines/>
      <w:spacing w:line="413" w:lineRule="auto"/>
      <w:jc w:val="center"/>
      <w:outlineLvl w:val="2"/>
    </w:pPr>
    <w:rPr>
      <w:b/>
      <w:sz w:val="44"/>
    </w:rPr>
  </w:style>
  <w:style w:type="paragraph" w:styleId="6">
    <w:name w:val="heading 4"/>
    <w:basedOn w:val="1"/>
    <w:next w:val="1"/>
    <w:qFormat/>
    <w:uiPriority w:val="0"/>
    <w:pPr>
      <w:keepNext/>
      <w:keepLines/>
      <w:spacing w:before="280" w:after="290" w:line="372" w:lineRule="auto"/>
      <w:outlineLvl w:val="3"/>
    </w:pPr>
    <w:rPr>
      <w:rFonts w:ascii="Arial" w:hAnsi="Arial" w:eastAsia="黑体"/>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7">
    <w:name w:val="Plain Text"/>
    <w:basedOn w:val="1"/>
    <w:qFormat/>
    <w:uiPriority w:val="0"/>
    <w:rPr>
      <w:rFonts w:ascii="宋体" w:hAnsi="Courier New"/>
      <w:sz w:val="21"/>
    </w:rPr>
  </w:style>
  <w:style w:type="paragraph" w:styleId="8">
    <w:name w:val="Body Text Indent 2"/>
    <w:basedOn w:val="1"/>
    <w:qFormat/>
    <w:uiPriority w:val="0"/>
    <w:pPr>
      <w:snapToGrid w:val="0"/>
      <w:spacing w:line="560" w:lineRule="atLeast"/>
      <w:ind w:firstLine="540"/>
    </w:pPr>
  </w:style>
  <w:style w:type="paragraph" w:styleId="9">
    <w:name w:val="footer"/>
    <w:basedOn w:val="1"/>
    <w:link w:val="21"/>
    <w:qFormat/>
    <w:uiPriority w:val="0"/>
    <w:pPr>
      <w:tabs>
        <w:tab w:val="center" w:pos="4153"/>
        <w:tab w:val="right" w:pos="8306"/>
      </w:tabs>
      <w:snapToGrid w:val="0"/>
      <w:jc w:val="left"/>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w:basedOn w:val="2"/>
    <w:next w:val="12"/>
    <w:qFormat/>
    <w:uiPriority w:val="0"/>
    <w:pPr>
      <w:spacing w:line="360" w:lineRule="auto"/>
      <w:ind w:firstLine="420"/>
    </w:pPr>
    <w:rPr>
      <w:rFonts w:ascii="宋体" w:hAnsi="宋体"/>
      <w:sz w:val="24"/>
    </w:rPr>
  </w:style>
  <w:style w:type="paragraph" w:customStyle="1" w:styleId="12">
    <w:name w:val="样式 正文首行缩进 + 首行缩进:  2 字符1 Char Char"/>
    <w:basedOn w:val="1"/>
    <w:qFormat/>
    <w:uiPriority w:val="0"/>
    <w:pPr>
      <w:adjustRightInd w:val="0"/>
      <w:spacing w:line="400" w:lineRule="exact"/>
      <w:ind w:firstLine="480" w:firstLineChars="200"/>
      <w:textAlignment w:val="baseline"/>
    </w:pPr>
    <w:rPr>
      <w:rFonts w:ascii="宋体" w:hAnsi="宋体" w:eastAsia="仿宋_GB2312" w:cs="宋体"/>
      <w:color w:val="000000"/>
      <w:sz w:val="26"/>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
    <w:name w:val="正文格式"/>
    <w:basedOn w:val="17"/>
    <w:qFormat/>
    <w:uiPriority w:val="0"/>
    <w:pPr>
      <w:widowControl/>
      <w:adjustRightInd w:val="0"/>
      <w:snapToGrid w:val="0"/>
      <w:spacing w:line="360" w:lineRule="auto"/>
      <w:ind w:firstLine="480" w:firstLineChars="200"/>
      <w:jc w:val="left"/>
      <w:textAlignment w:val="baseline"/>
    </w:pPr>
    <w:rPr>
      <w:rFonts w:ascii="宋体" w:hAnsi="宋体"/>
      <w:color w:val="000000"/>
      <w:kern w:val="0"/>
      <w:sz w:val="24"/>
    </w:rPr>
  </w:style>
  <w:style w:type="paragraph" w:customStyle="1" w:styleId="17">
    <w:name w:val="正文_2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Heading3"/>
    <w:basedOn w:val="1"/>
    <w:next w:val="1"/>
    <w:qFormat/>
    <w:uiPriority w:val="0"/>
    <w:pPr>
      <w:keepNext/>
      <w:keepLines/>
      <w:spacing w:before="260" w:after="260" w:line="412" w:lineRule="auto"/>
    </w:pPr>
    <w:rPr>
      <w:b/>
      <w:bCs/>
      <w:sz w:val="32"/>
      <w:szCs w:val="32"/>
    </w:rPr>
  </w:style>
  <w:style w:type="paragraph" w:customStyle="1" w:styleId="19">
    <w:name w:val="信息部正文"/>
    <w:basedOn w:val="1"/>
    <w:qFormat/>
    <w:uiPriority w:val="0"/>
    <w:pPr>
      <w:ind w:firstLine="480" w:firstLineChars="200"/>
    </w:pPr>
    <w:rPr>
      <w:rFonts w:ascii="宋体" w:hAnsi="宋体" w:cs="宋体"/>
    </w:rPr>
  </w:style>
  <w:style w:type="character" w:customStyle="1" w:styleId="20">
    <w:name w:val="页眉 Char"/>
    <w:basedOn w:val="15"/>
    <w:link w:val="10"/>
    <w:qFormat/>
    <w:uiPriority w:val="0"/>
    <w:rPr>
      <w:kern w:val="2"/>
      <w:sz w:val="18"/>
      <w:szCs w:val="18"/>
    </w:rPr>
  </w:style>
  <w:style w:type="character" w:customStyle="1" w:styleId="21">
    <w:name w:val="页脚 Char"/>
    <w:basedOn w:val="15"/>
    <w:link w:val="9"/>
    <w:qFormat/>
    <w:uiPriority w:val="0"/>
    <w:rPr>
      <w:kern w:val="2"/>
      <w:sz w:val="18"/>
      <w:szCs w:val="18"/>
    </w:rPr>
  </w:style>
  <w:style w:type="paragraph" w:styleId="22">
    <w:name w:val="List Paragraph"/>
    <w:basedOn w:val="1"/>
    <w:qFormat/>
    <w:uiPriority w:val="99"/>
    <w:pPr>
      <w:ind w:firstLine="420" w:firstLineChars="200"/>
    </w:pPr>
  </w:style>
  <w:style w:type="paragraph" w:customStyle="1" w:styleId="23">
    <w:name w:val="Default"/>
    <w:next w:val="1"/>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24">
    <w:name w:val="图例"/>
    <w:basedOn w:val="1"/>
    <w:qFormat/>
    <w:uiPriority w:val="0"/>
    <w:pPr>
      <w:spacing w:before="120" w:after="120" w:line="360" w:lineRule="auto"/>
      <w:jc w:val="center"/>
    </w:pPr>
    <w:rPr>
      <w:rFonts w:eastAsia="仿宋_GB2312"/>
      <w:b/>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17</Pages>
  <Words>4844</Words>
  <Characters>5041</Characters>
  <Lines>41</Lines>
  <Paragraphs>11</Paragraphs>
  <TotalTime>1</TotalTime>
  <ScaleCrop>false</ScaleCrop>
  <LinksUpToDate>false</LinksUpToDate>
  <CharactersWithSpaces>5580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2025-05-08T06:27:00Z</dcterms:created>
  <dc:creator>丹姐</dc:creator>
  <cp:lastModifiedBy>航</cp:lastModifiedBy>
  <cp:lastPrinted>2025-07-25T07:41:00Z</cp:lastPrinted>
  <dcterms:modified xsi:type="dcterms:W3CDTF">2025-07-29T01:29:46Z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A7D7D9C6398540A8950A5FEC925D1041_13</vt:lpwstr>
  </property>
  <property fmtid="{D5CDD505-2E9C-101B-9397-08002B2CF9AE}" pid="4" name="KSOTemplateDocerSaveRecord">
    <vt:lpwstr>eyJoZGlkIjoiY2Y4Njg0NGFmMzgwOWY1MjIxY2RhNmQ5MDY0NGQxMDUiLCJ1c2VySWQiOiI0MzM3MDk0NTkifQ==</vt:lpwstr>
  </property>
</Properties>
</file>